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788AE">
      <w:pPr>
        <w:pStyle w:val="6"/>
        <w:keepNext w:val="0"/>
        <w:keepLines w:val="0"/>
        <w:widowControl/>
        <w:suppressLineNumbers w:val="0"/>
        <w:spacing w:before="0" w:beforeAutospacing="0" w:line="450" w:lineRule="atLeast"/>
        <w:ind w:left="0" w:firstLine="420"/>
        <w:rPr>
          <w:rFonts w:hint="eastAsia" w:ascii="宋体" w:hAnsi="宋体" w:eastAsia="宋体" w:cs="宋体"/>
          <w:sz w:val="30"/>
          <w:szCs w:val="30"/>
        </w:rPr>
      </w:pPr>
      <w:r>
        <w:rPr>
          <w:rFonts w:hint="eastAsia"/>
          <w:spacing w:val="-1"/>
          <w:sz w:val="30"/>
          <w:szCs w:val="30"/>
          <w:lang w:val="en-US" w:eastAsia="zh-CN"/>
        </w:rPr>
        <w:t xml:space="preserve">   </w:t>
      </w:r>
      <w:r>
        <w:rPr>
          <w:rFonts w:hint="eastAsia" w:ascii="宋体" w:hAnsi="宋体" w:eastAsia="宋体" w:cs="宋体"/>
          <w:sz w:val="30"/>
          <w:szCs w:val="30"/>
          <w:bdr w:val="none" w:color="auto" w:sz="0" w:space="0"/>
        </w:rPr>
        <w:t>山西大同大同东500千伏输变电工程项目属于500千伏等级的输变电工程，本项目列入《山西省“十四五”电网规划》，属于纳入省级规划的能源类项目。</w:t>
      </w:r>
    </w:p>
    <w:p w14:paraId="40B6D617">
      <w:pPr>
        <w:pStyle w:val="6"/>
        <w:keepNext w:val="0"/>
        <w:keepLines w:val="0"/>
        <w:widowControl/>
        <w:suppressLineNumbers w:val="0"/>
        <w:spacing w:before="0" w:beforeAutospacing="0" w:line="450" w:lineRule="atLeast"/>
        <w:ind w:left="0" w:firstLine="420"/>
        <w:rPr>
          <w:sz w:val="30"/>
          <w:szCs w:val="30"/>
        </w:rPr>
      </w:pPr>
      <w:r>
        <w:rPr>
          <w:rFonts w:hint="eastAsia" w:ascii="宋体" w:hAnsi="宋体" w:eastAsia="宋体" w:cs="宋体"/>
          <w:sz w:val="30"/>
          <w:szCs w:val="30"/>
          <w:bdr w:val="none" w:color="auto" w:sz="0" w:space="0"/>
        </w:rPr>
        <w:t>因项目建设发展需要，经县政府同意，山西省城市规划和发展研究有限公司于2025年9月组织编制了《大同市广灵县GL-LZZ-LZXB-01地块实施性详细规划》，作为开展国土空间开发保护活动、实施国土空间用途管制、核发城乡建设项目规划许可、进行各项建设等的法定依据。规划于2025年10月通过专家评审。</w:t>
      </w:r>
    </w:p>
    <w:p w14:paraId="3F372784">
      <w:pPr>
        <w:pStyle w:val="6"/>
        <w:keepNext w:val="0"/>
        <w:keepLines w:val="0"/>
        <w:widowControl/>
        <w:suppressLineNumbers w:val="0"/>
        <w:spacing w:before="0" w:beforeAutospacing="0" w:line="450" w:lineRule="atLeast"/>
        <w:ind w:left="0" w:firstLine="420"/>
        <w:rPr>
          <w:rFonts w:hint="eastAsia" w:ascii="宋体" w:hAnsi="宋体" w:eastAsia="宋体" w:cs="宋体"/>
          <w:sz w:val="30"/>
          <w:szCs w:val="30"/>
        </w:rPr>
      </w:pPr>
      <w:r>
        <w:rPr>
          <w:rFonts w:hint="eastAsia" w:ascii="宋体" w:hAnsi="宋体" w:eastAsia="宋体" w:cs="宋体"/>
          <w:sz w:val="30"/>
          <w:szCs w:val="30"/>
          <w:bdr w:val="none" w:color="auto" w:sz="0" w:space="0"/>
        </w:rPr>
        <w:t>为此决定将规划主要内容公示，具体如下：</w:t>
      </w:r>
    </w:p>
    <w:p w14:paraId="02A6F14C">
      <w:pPr>
        <w:pStyle w:val="6"/>
        <w:keepNext w:val="0"/>
        <w:keepLines w:val="0"/>
        <w:widowControl/>
        <w:suppressLineNumbers w:val="0"/>
        <w:spacing w:before="0" w:beforeAutospacing="0" w:line="450" w:lineRule="atLeast"/>
        <w:ind w:left="0" w:firstLine="420"/>
        <w:rPr>
          <w:rFonts w:hint="eastAsia" w:ascii="宋体" w:hAnsi="宋体" w:eastAsia="宋体" w:cs="宋体"/>
          <w:sz w:val="30"/>
          <w:szCs w:val="30"/>
        </w:rPr>
      </w:pPr>
      <w:r>
        <w:rPr>
          <w:rFonts w:hint="eastAsia" w:ascii="宋体" w:hAnsi="宋体" w:eastAsia="宋体" w:cs="宋体"/>
          <w:sz w:val="30"/>
          <w:szCs w:val="30"/>
          <w:bdr w:val="none" w:color="auto" w:sz="0" w:space="0"/>
        </w:rPr>
        <w:t>1、本图仅为示意图，方案以最后审批为主；</w:t>
      </w:r>
    </w:p>
    <w:p w14:paraId="74A0545E">
      <w:pPr>
        <w:pStyle w:val="6"/>
        <w:keepNext w:val="0"/>
        <w:keepLines w:val="0"/>
        <w:widowControl/>
        <w:suppressLineNumbers w:val="0"/>
        <w:spacing w:before="0" w:beforeAutospacing="0" w:line="450" w:lineRule="atLeast"/>
        <w:ind w:left="0" w:firstLine="420"/>
        <w:rPr>
          <w:rFonts w:hint="eastAsia" w:ascii="宋体" w:hAnsi="宋体" w:eastAsia="宋体" w:cs="宋体"/>
          <w:sz w:val="30"/>
          <w:szCs w:val="30"/>
          <w:bdr w:val="none" w:color="auto" w:sz="0" w:space="0"/>
          <w:lang w:val="en-US" w:eastAsia="zh-CN"/>
        </w:rPr>
      </w:pPr>
      <w:r>
        <w:rPr>
          <w:rFonts w:hint="eastAsia" w:ascii="宋体" w:hAnsi="宋体" w:eastAsia="宋体" w:cs="宋体"/>
          <w:sz w:val="30"/>
          <w:szCs w:val="30"/>
          <w:bdr w:val="none" w:color="auto" w:sz="0" w:space="0"/>
        </w:rPr>
        <w:t>2、如对以下公示内容有意见和建议的，请在公示日三十日内向广灵县自然资源局提出书面意见或发送至邮箱</w:t>
      </w:r>
      <w:r>
        <w:rPr>
          <w:rFonts w:hint="eastAsia" w:ascii="宋体" w:hAnsi="宋体" w:eastAsia="宋体" w:cs="宋体"/>
          <w:sz w:val="30"/>
          <w:szCs w:val="30"/>
          <w:bdr w:val="none" w:color="auto" w:sz="0" w:space="0"/>
          <w:lang w:val="en-US" w:eastAsia="zh-CN"/>
        </w:rPr>
        <w:fldChar w:fldCharType="begin"/>
      </w:r>
      <w:r>
        <w:rPr>
          <w:rFonts w:hint="eastAsia" w:ascii="宋体" w:hAnsi="宋体" w:eastAsia="宋体" w:cs="宋体"/>
          <w:sz w:val="30"/>
          <w:szCs w:val="30"/>
          <w:bdr w:val="none" w:color="auto" w:sz="0" w:space="0"/>
          <w:lang w:val="en-US" w:eastAsia="zh-CN"/>
        </w:rPr>
        <w:instrText xml:space="preserve"> HYPERLINK "mailto:glghgl@163.com。" </w:instrText>
      </w:r>
      <w:r>
        <w:rPr>
          <w:rFonts w:hint="eastAsia" w:ascii="宋体" w:hAnsi="宋体" w:eastAsia="宋体" w:cs="宋体"/>
          <w:sz w:val="30"/>
          <w:szCs w:val="30"/>
          <w:bdr w:val="none" w:color="auto" w:sz="0" w:space="0"/>
          <w:lang w:val="en-US" w:eastAsia="zh-CN"/>
        </w:rPr>
        <w:fldChar w:fldCharType="separate"/>
      </w:r>
      <w:r>
        <w:rPr>
          <w:rStyle w:val="10"/>
          <w:rFonts w:hint="eastAsia" w:ascii="宋体" w:hAnsi="宋体" w:eastAsia="宋体" w:cs="宋体"/>
          <w:sz w:val="30"/>
          <w:szCs w:val="30"/>
          <w:bdr w:val="none" w:color="auto" w:sz="0" w:space="0"/>
          <w:lang w:val="en-US" w:eastAsia="zh-CN"/>
        </w:rPr>
        <w:t>glghgl@163.com。</w:t>
      </w:r>
      <w:r>
        <w:rPr>
          <w:rFonts w:hint="eastAsia" w:ascii="宋体" w:hAnsi="宋体" w:eastAsia="宋体" w:cs="宋体"/>
          <w:sz w:val="30"/>
          <w:szCs w:val="30"/>
          <w:bdr w:val="none" w:color="auto" w:sz="0" w:space="0"/>
          <w:lang w:val="en-US" w:eastAsia="zh-CN"/>
        </w:rPr>
        <w:fldChar w:fldCharType="end"/>
      </w:r>
    </w:p>
    <w:p w14:paraId="61BA3871">
      <w:pPr>
        <w:pStyle w:val="6"/>
        <w:keepNext w:val="0"/>
        <w:keepLines w:val="0"/>
        <w:widowControl/>
        <w:suppressLineNumbers w:val="0"/>
        <w:spacing w:before="0" w:beforeAutospacing="0" w:line="450" w:lineRule="atLeast"/>
        <w:ind w:left="0" w:firstLine="420"/>
        <w:rPr>
          <w:rFonts w:hint="eastAsia" w:ascii="宋体" w:hAnsi="宋体" w:eastAsia="宋体" w:cs="宋体"/>
          <w:sz w:val="30"/>
          <w:szCs w:val="30"/>
        </w:rPr>
      </w:pPr>
      <w:r>
        <w:rPr>
          <w:rFonts w:hint="eastAsia" w:ascii="宋体" w:hAnsi="宋体" w:eastAsia="宋体" w:cs="宋体"/>
          <w:sz w:val="30"/>
          <w:szCs w:val="30"/>
          <w:bdr w:val="none" w:color="auto" w:sz="0" w:space="0"/>
        </w:rPr>
        <w:t>监督电话：0352－8822369</w:t>
      </w:r>
    </w:p>
    <w:p w14:paraId="13D12C6E">
      <w:pPr>
        <w:pStyle w:val="6"/>
        <w:keepNext w:val="0"/>
        <w:keepLines w:val="0"/>
        <w:widowControl/>
        <w:suppressLineNumbers w:val="0"/>
        <w:spacing w:before="0" w:beforeAutospacing="0" w:line="450" w:lineRule="atLeast"/>
        <w:ind w:left="0" w:firstLine="420"/>
        <w:rPr>
          <w:rFonts w:hint="eastAsia" w:ascii="宋体" w:hAnsi="宋体" w:eastAsia="宋体" w:cs="宋体"/>
          <w:sz w:val="30"/>
          <w:szCs w:val="30"/>
        </w:rPr>
      </w:pPr>
      <w:r>
        <w:rPr>
          <w:rFonts w:hint="eastAsia" w:ascii="宋体" w:hAnsi="宋体" w:eastAsia="宋体" w:cs="宋体"/>
          <w:sz w:val="30"/>
          <w:szCs w:val="30"/>
          <w:bdr w:val="none" w:color="auto" w:sz="0" w:space="0"/>
        </w:rPr>
        <w:t>公示内容见后附报告</w:t>
      </w:r>
    </w:p>
    <w:p w14:paraId="3F5E416D">
      <w:pPr>
        <w:jc w:val="both"/>
        <w:rPr>
          <w:rFonts w:hint="eastAsia" w:ascii="黑体" w:hAnsi="黑体" w:eastAsia="黑体" w:cs="黑体"/>
          <w:sz w:val="52"/>
          <w:szCs w:val="52"/>
          <w:lang w:val="en-US" w:eastAsia="zh-CN"/>
        </w:rPr>
      </w:pPr>
    </w:p>
    <w:p w14:paraId="14F4B006">
      <w:pPr>
        <w:jc w:val="both"/>
        <w:rPr>
          <w:rFonts w:hint="eastAsia" w:ascii="黑体" w:hAnsi="黑体" w:eastAsia="黑体" w:cs="黑体"/>
          <w:sz w:val="52"/>
          <w:szCs w:val="52"/>
          <w:lang w:val="en-US" w:eastAsia="zh-CN"/>
        </w:rPr>
      </w:pPr>
      <w:bookmarkStart w:id="16" w:name="_GoBack"/>
      <w:bookmarkEnd w:id="16"/>
    </w:p>
    <w:p w14:paraId="213BC0A1">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大同市广灵县GL-LZZ-LZXB-01地块实施性详细规划</w:t>
      </w:r>
    </w:p>
    <w:p w14:paraId="4DFC6E10">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（公示成果）</w:t>
      </w:r>
    </w:p>
    <w:p w14:paraId="7A532232">
      <w:pPr>
        <w:jc w:val="center"/>
        <w:rPr>
          <w:rFonts w:hint="eastAsia" w:ascii="黑体" w:hAnsi="黑体" w:eastAsia="黑体" w:cs="黑体"/>
          <w:sz w:val="52"/>
          <w:szCs w:val="52"/>
          <w:lang w:val="en-US" w:eastAsia="zh-CN"/>
        </w:rPr>
      </w:pPr>
    </w:p>
    <w:p w14:paraId="06AA48C9">
      <w:pPr>
        <w:jc w:val="center"/>
        <w:rPr>
          <w:rFonts w:hint="eastAsia" w:ascii="黑体" w:hAnsi="黑体" w:eastAsia="黑体" w:cs="黑体"/>
          <w:sz w:val="52"/>
          <w:szCs w:val="52"/>
          <w:lang w:val="en-US" w:eastAsia="zh-CN"/>
        </w:rPr>
      </w:pPr>
    </w:p>
    <w:p w14:paraId="42C230D5">
      <w:pPr>
        <w:jc w:val="center"/>
        <w:rPr>
          <w:rFonts w:hint="eastAsia" w:ascii="黑体" w:hAnsi="黑体" w:eastAsia="黑体" w:cs="黑体"/>
          <w:sz w:val="52"/>
          <w:szCs w:val="52"/>
          <w:lang w:val="en-US" w:eastAsia="zh-CN"/>
        </w:rPr>
      </w:pPr>
    </w:p>
    <w:p w14:paraId="74DFB166">
      <w:pPr>
        <w:jc w:val="center"/>
        <w:rPr>
          <w:rFonts w:hint="eastAsia" w:ascii="黑体" w:hAnsi="黑体" w:eastAsia="黑体" w:cs="黑体"/>
          <w:sz w:val="52"/>
          <w:szCs w:val="52"/>
          <w:lang w:val="en-US" w:eastAsia="zh-CN"/>
        </w:rPr>
      </w:pPr>
    </w:p>
    <w:p w14:paraId="545CFAEF">
      <w:pPr>
        <w:jc w:val="center"/>
        <w:rPr>
          <w:rFonts w:hint="eastAsia" w:ascii="黑体" w:hAnsi="黑体" w:eastAsia="黑体" w:cs="黑体"/>
          <w:sz w:val="52"/>
          <w:szCs w:val="52"/>
          <w:lang w:val="en-US" w:eastAsia="zh-CN"/>
        </w:rPr>
      </w:pPr>
    </w:p>
    <w:p w14:paraId="198C45EB">
      <w:pPr>
        <w:jc w:val="center"/>
        <w:rPr>
          <w:rFonts w:hint="eastAsia" w:ascii="黑体" w:hAnsi="黑体" w:eastAsia="黑体" w:cs="黑体"/>
          <w:sz w:val="52"/>
          <w:szCs w:val="52"/>
          <w:lang w:val="en-US" w:eastAsia="zh-CN"/>
        </w:rPr>
      </w:pPr>
    </w:p>
    <w:p w14:paraId="6FE95998">
      <w:pPr>
        <w:jc w:val="center"/>
        <w:rPr>
          <w:rFonts w:hint="eastAsia" w:ascii="黑体" w:hAnsi="黑体" w:eastAsia="黑体" w:cs="黑体"/>
          <w:sz w:val="52"/>
          <w:szCs w:val="52"/>
          <w:lang w:val="en-US" w:eastAsia="zh-CN"/>
        </w:rPr>
      </w:pPr>
    </w:p>
    <w:p w14:paraId="65B6B418">
      <w:pPr>
        <w:jc w:val="center"/>
        <w:rPr>
          <w:rFonts w:hint="eastAsia" w:ascii="黑体" w:hAnsi="黑体" w:eastAsia="黑体" w:cs="黑体"/>
          <w:sz w:val="52"/>
          <w:szCs w:val="52"/>
          <w:lang w:val="en-US" w:eastAsia="zh-CN"/>
        </w:rPr>
      </w:pPr>
    </w:p>
    <w:p w14:paraId="04D0E8DA">
      <w:pPr>
        <w:jc w:val="center"/>
        <w:rPr>
          <w:rFonts w:hint="eastAsia" w:ascii="黑体" w:hAnsi="黑体" w:eastAsia="黑体" w:cs="黑体"/>
          <w:sz w:val="52"/>
          <w:szCs w:val="52"/>
          <w:lang w:val="en-US" w:eastAsia="zh-CN"/>
        </w:rPr>
      </w:pPr>
    </w:p>
    <w:p w14:paraId="07485C2A">
      <w:pPr>
        <w:jc w:val="center"/>
        <w:rPr>
          <w:rFonts w:hint="eastAsia" w:ascii="宋体" w:hAnsi="宋体" w:eastAsia="宋体" w:cs="宋体"/>
          <w:sz w:val="31"/>
          <w:szCs w:val="31"/>
          <w:lang w:val="en-US" w:eastAsia="zh-CN"/>
        </w:rPr>
      </w:pPr>
      <w:r>
        <w:rPr>
          <w:rFonts w:hint="eastAsia" w:ascii="宋体" w:hAnsi="宋体" w:eastAsia="宋体" w:cs="宋体"/>
          <w:sz w:val="31"/>
          <w:szCs w:val="31"/>
          <w:lang w:val="en-US" w:eastAsia="zh-CN"/>
        </w:rPr>
        <w:t>2025年10月</w:t>
      </w:r>
    </w:p>
    <w:p w14:paraId="0A11CB49">
      <w:pPr>
        <w:jc w:val="center"/>
        <w:rPr>
          <w:rFonts w:hint="eastAsia" w:ascii="黑体" w:hAnsi="黑体" w:eastAsia="黑体" w:cs="黑体"/>
          <w:sz w:val="52"/>
          <w:szCs w:val="52"/>
          <w:lang w:val="en-US" w:eastAsia="zh-CN"/>
        </w:rPr>
        <w:sectPr>
          <w:pgSz w:w="11906" w:h="16838"/>
          <w:pgMar w:top="1440" w:right="1800" w:bottom="1440" w:left="1800" w:header="851" w:footer="992" w:gutter="0"/>
          <w:cols w:space="425" w:num="1"/>
          <w:docGrid w:type="lines" w:linePitch="312" w:charSpace="0"/>
        </w:sectPr>
      </w:pPr>
    </w:p>
    <w:p w14:paraId="15344D79">
      <w:pPr>
        <w:numPr>
          <w:ilvl w:val="0"/>
          <w:numId w:val="1"/>
        </w:numPr>
        <w:jc w:val="center"/>
        <w:rPr>
          <w:rFonts w:hint="eastAsia" w:ascii="宋体" w:hAnsi="宋体" w:eastAsia="宋体" w:cs="宋体"/>
          <w:b/>
          <w:bCs/>
          <w:sz w:val="35"/>
          <w:szCs w:val="35"/>
          <w:lang w:val="en-US" w:eastAsia="zh-CN"/>
        </w:rPr>
      </w:pPr>
      <w:r>
        <w:rPr>
          <w:rFonts w:hint="eastAsia" w:ascii="宋体" w:hAnsi="宋体" w:eastAsia="宋体" w:cs="宋体"/>
          <w:b/>
          <w:bCs/>
          <w:sz w:val="35"/>
          <w:szCs w:val="35"/>
          <w:lang w:val="en-US" w:eastAsia="zh-CN"/>
        </w:rPr>
        <w:t>规划概况</w:t>
      </w:r>
    </w:p>
    <w:p w14:paraId="0B150CA9">
      <w:pPr>
        <w:numPr>
          <w:ilvl w:val="0"/>
          <w:numId w:val="0"/>
        </w:numPr>
        <w:ind w:firstLine="702"/>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1.1规划背景</w:t>
      </w:r>
    </w:p>
    <w:p w14:paraId="4723069B">
      <w:pPr>
        <w:spacing w:line="360" w:lineRule="auto"/>
        <w:ind w:firstLine="560" w:firstLineChars="200"/>
        <w:jc w:val="both"/>
        <w:rPr>
          <w:rFonts w:hint="default"/>
          <w:color w:val="auto"/>
          <w:sz w:val="28"/>
          <w:szCs w:val="28"/>
          <w:lang w:val="en-US" w:eastAsia="zh-CN"/>
        </w:rPr>
      </w:pPr>
      <w:r>
        <w:rPr>
          <w:rFonts w:hint="eastAsia" w:ascii="宋体" w:hAnsi="宋体" w:eastAsia="宋体" w:cs="宋体"/>
          <w:color w:val="auto"/>
          <w:sz w:val="28"/>
          <w:szCs w:val="28"/>
          <w:highlight w:val="none"/>
          <w:lang w:val="en-US" w:eastAsia="zh-CN"/>
        </w:rPr>
        <w:t>山西大同大同东500千伏输变电工程变电站位于大同市广灵县梁庄镇梁庄西堡村境内。</w:t>
      </w:r>
      <w:r>
        <w:rPr>
          <w:rFonts w:hint="eastAsia"/>
          <w:color w:val="auto"/>
          <w:sz w:val="28"/>
          <w:szCs w:val="28"/>
          <w:lang w:val="en-US" w:eastAsia="zh-CN"/>
        </w:rPr>
        <w:t>本项目地块为存量国有建设用地，不涉及新增建设用地。地块占地</w:t>
      </w:r>
      <w:r>
        <w:rPr>
          <w:rFonts w:hint="eastAsia" w:ascii="宋体" w:hAnsi="宋体" w:eastAsia="宋体" w:cs="宋体"/>
          <w:color w:val="auto"/>
          <w:sz w:val="28"/>
          <w:szCs w:val="28"/>
          <w:highlight w:val="none"/>
          <w:lang w:val="en-US" w:eastAsia="zh-CN"/>
        </w:rPr>
        <w:t>广灵县梁庄镇梁庄西堡村</w:t>
      </w:r>
      <w:r>
        <w:rPr>
          <w:rFonts w:hint="default"/>
          <w:color w:val="auto"/>
          <w:sz w:val="28"/>
          <w:szCs w:val="28"/>
          <w:lang w:val="en-US" w:eastAsia="zh-CN"/>
        </w:rPr>
        <w:t>建设用地</w:t>
      </w:r>
      <w:r>
        <w:rPr>
          <w:rFonts w:hint="eastAsia" w:ascii="宋体" w:hAnsi="宋体" w:eastAsia="宋体" w:cs="宋体"/>
          <w:color w:val="auto"/>
          <w:sz w:val="28"/>
          <w:szCs w:val="28"/>
          <w:lang w:val="en-US" w:eastAsia="zh-CN"/>
        </w:rPr>
        <w:t>5.7411</w:t>
      </w:r>
      <w:r>
        <w:rPr>
          <w:rFonts w:hint="default"/>
          <w:color w:val="auto"/>
          <w:sz w:val="28"/>
          <w:szCs w:val="28"/>
          <w:lang w:val="en-US" w:eastAsia="zh-CN"/>
        </w:rPr>
        <w:t>公顷</w:t>
      </w:r>
      <w:r>
        <w:rPr>
          <w:rFonts w:hint="eastAsia"/>
          <w:color w:val="auto"/>
          <w:sz w:val="28"/>
          <w:szCs w:val="28"/>
          <w:lang w:val="en-US" w:eastAsia="zh-CN"/>
        </w:rPr>
        <w:t>，</w:t>
      </w:r>
      <w:r>
        <w:rPr>
          <w:rFonts w:hint="default"/>
          <w:color w:val="auto"/>
          <w:sz w:val="28"/>
          <w:szCs w:val="28"/>
          <w:lang w:val="en-US" w:eastAsia="zh-CN"/>
        </w:rPr>
        <w:t>作为</w:t>
      </w:r>
      <w:r>
        <w:rPr>
          <w:rFonts w:hint="eastAsia"/>
          <w:color w:val="auto"/>
          <w:sz w:val="28"/>
          <w:szCs w:val="28"/>
          <w:lang w:val="en-US" w:eastAsia="zh-CN"/>
        </w:rPr>
        <w:t>山西大同大同东500千伏输变电工程</w:t>
      </w:r>
      <w:r>
        <w:rPr>
          <w:rFonts w:hint="default"/>
          <w:color w:val="auto"/>
          <w:sz w:val="28"/>
          <w:szCs w:val="28"/>
          <w:lang w:val="en-US" w:eastAsia="zh-CN"/>
        </w:rPr>
        <w:t>建设用地</w:t>
      </w:r>
      <w:r>
        <w:rPr>
          <w:rFonts w:hint="eastAsia"/>
          <w:color w:val="auto"/>
          <w:sz w:val="28"/>
          <w:szCs w:val="28"/>
          <w:lang w:val="en-US" w:eastAsia="zh-CN"/>
        </w:rPr>
        <w:t>（即变电站地块）</w:t>
      </w:r>
      <w:r>
        <w:rPr>
          <w:rFonts w:hint="default"/>
          <w:color w:val="auto"/>
          <w:sz w:val="28"/>
          <w:szCs w:val="28"/>
          <w:lang w:val="en-US" w:eastAsia="zh-CN"/>
        </w:rPr>
        <w:t>。</w:t>
      </w:r>
    </w:p>
    <w:p w14:paraId="3EF9F0D7">
      <w:pPr>
        <w:ind w:firstLine="560"/>
        <w:rPr>
          <w:rFonts w:hint="default" w:ascii="宋体" w:hAnsi="宋体" w:eastAsia="宋体" w:cs="Times New Roman"/>
          <w:color w:val="auto"/>
          <w:sz w:val="28"/>
          <w:szCs w:val="28"/>
          <w:lang w:val="en-US" w:eastAsia="zh-CN"/>
        </w:rPr>
      </w:pPr>
      <w:r>
        <w:rPr>
          <w:rFonts w:hint="default" w:ascii="宋体" w:hAnsi="宋体" w:eastAsia="宋体" w:cs="Times New Roman"/>
          <w:color w:val="auto"/>
          <w:sz w:val="28"/>
          <w:szCs w:val="28"/>
          <w:lang w:val="en-US" w:eastAsia="zh-CN"/>
        </w:rPr>
        <w:t>2023年3月 27日，自然资源部发布了《自然资源部关于加强国土空间详细规划工作的通知》(自然资发(2023)43 号)，通知中要求</w:t>
      </w:r>
      <w:r>
        <w:rPr>
          <w:rFonts w:hint="eastAsia" w:ascii="宋体" w:hAnsi="宋体" w:eastAsia="宋体" w:cs="Times New Roman"/>
          <w:color w:val="auto"/>
          <w:sz w:val="28"/>
          <w:szCs w:val="28"/>
          <w:lang w:val="en-US" w:eastAsia="zh-CN"/>
        </w:rPr>
        <w:t>：</w:t>
      </w:r>
      <w:r>
        <w:rPr>
          <w:rFonts w:hint="default" w:ascii="宋体" w:hAnsi="宋体" w:eastAsia="宋体" w:cs="Times New Roman"/>
          <w:color w:val="auto"/>
          <w:sz w:val="28"/>
          <w:szCs w:val="28"/>
          <w:lang w:val="en-US" w:eastAsia="zh-CN"/>
        </w:rPr>
        <w:t>“各地在‘三区三线’划定后，应全面开展详细规划的编制(新编或修编，下同)，分区分类推进详细规划编制”。各地可根据新城建设、城市更新、乡村建设、自然和历史文化资源保护利用的需求和产城融合、城乡融合、区域一体、绿色发展等要求，因地制宜划分不同单元类型，探索不同单元类型、不同层级深度详细规划的编制和管控方法。”</w:t>
      </w:r>
    </w:p>
    <w:p w14:paraId="54AFBFC3">
      <w:pPr>
        <w:ind w:firstLine="56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山西大同大同东500千伏输变电工程变电站</w:t>
      </w:r>
      <w:r>
        <w:rPr>
          <w:rFonts w:hint="default" w:ascii="宋体" w:hAnsi="宋体" w:eastAsia="宋体" w:cs="Times New Roman"/>
          <w:color w:val="auto"/>
          <w:sz w:val="28"/>
          <w:szCs w:val="28"/>
          <w:lang w:val="en-US" w:eastAsia="zh-CN"/>
        </w:rPr>
        <w:t>地块位于</w:t>
      </w:r>
      <w:r>
        <w:rPr>
          <w:rFonts w:hint="eastAsia" w:ascii="宋体" w:hAnsi="宋体" w:eastAsia="宋体" w:cs="Times New Roman"/>
          <w:color w:val="auto"/>
          <w:sz w:val="28"/>
          <w:szCs w:val="28"/>
          <w:lang w:val="en-US" w:eastAsia="zh-CN"/>
        </w:rPr>
        <w:t>广灵县</w:t>
      </w:r>
      <w:r>
        <w:rPr>
          <w:rFonts w:hint="default" w:ascii="宋体" w:hAnsi="宋体" w:eastAsia="宋体" w:cs="Times New Roman"/>
          <w:color w:val="auto"/>
          <w:sz w:val="28"/>
          <w:szCs w:val="28"/>
          <w:lang w:val="en-US" w:eastAsia="zh-CN"/>
        </w:rPr>
        <w:t>城镇开发边界</w:t>
      </w:r>
      <w:r>
        <w:rPr>
          <w:rFonts w:hint="eastAsia" w:ascii="宋体" w:hAnsi="宋体" w:eastAsia="宋体" w:cs="Times New Roman"/>
          <w:color w:val="auto"/>
          <w:sz w:val="28"/>
          <w:szCs w:val="28"/>
          <w:lang w:val="en-US" w:eastAsia="zh-CN"/>
        </w:rPr>
        <w:t>内，已列入</w:t>
      </w:r>
      <w:r>
        <w:rPr>
          <w:rFonts w:hint="default" w:ascii="宋体" w:hAnsi="宋体" w:eastAsia="宋体" w:cs="Times New Roman"/>
          <w:color w:val="auto"/>
          <w:sz w:val="28"/>
          <w:szCs w:val="28"/>
          <w:lang w:val="en-US" w:eastAsia="zh-CN"/>
        </w:rPr>
        <w:t>《山西省“十四五 ”电网规划》，项目属于 500 千伏等级的输变电项目，</w:t>
      </w:r>
      <w:r>
        <w:rPr>
          <w:rFonts w:hint="eastAsia" w:ascii="宋体" w:hAnsi="宋体" w:eastAsia="宋体" w:cs="宋体"/>
          <w:color w:val="000000"/>
          <w:kern w:val="0"/>
          <w:sz w:val="28"/>
          <w:szCs w:val="28"/>
          <w:lang w:val="en-US" w:eastAsia="zh-CN" w:bidi="ar"/>
        </w:rPr>
        <w:t>已列入《广灵县国土空间总体规划（2021-2035 年）》重点建设项目安排表，符合所在区域规划分区的现行用途管制规则。</w:t>
      </w:r>
      <w:r>
        <w:rPr>
          <w:rFonts w:hint="default" w:ascii="宋体" w:hAnsi="宋体" w:eastAsia="宋体" w:cs="Times New Roman"/>
          <w:color w:val="auto"/>
          <w:sz w:val="28"/>
          <w:szCs w:val="28"/>
          <w:lang w:val="en-US" w:eastAsia="zh-CN"/>
        </w:rPr>
        <w:t>因此必须经过严谨的</w:t>
      </w:r>
      <w:r>
        <w:rPr>
          <w:rFonts w:hint="eastAsia" w:ascii="宋体" w:hAnsi="宋体" w:eastAsia="宋体" w:cs="Times New Roman"/>
          <w:color w:val="auto"/>
          <w:sz w:val="28"/>
          <w:szCs w:val="28"/>
          <w:lang w:val="en-US" w:eastAsia="zh-CN"/>
        </w:rPr>
        <w:t>实施性详细规划论证方</w:t>
      </w:r>
      <w:r>
        <w:rPr>
          <w:rFonts w:hint="default" w:ascii="宋体" w:hAnsi="宋体" w:eastAsia="宋体" w:cs="Times New Roman"/>
          <w:color w:val="auto"/>
          <w:sz w:val="28"/>
          <w:szCs w:val="28"/>
          <w:lang w:val="en-US" w:eastAsia="zh-CN"/>
        </w:rPr>
        <w:t>可办理</w:t>
      </w:r>
      <w:r>
        <w:rPr>
          <w:rFonts w:hint="eastAsia" w:ascii="宋体" w:hAnsi="宋体" w:eastAsia="宋体" w:cs="Times New Roman"/>
          <w:color w:val="auto"/>
          <w:sz w:val="28"/>
          <w:szCs w:val="28"/>
          <w:lang w:val="en-US" w:eastAsia="zh-CN"/>
        </w:rPr>
        <w:t>地块</w:t>
      </w:r>
      <w:r>
        <w:rPr>
          <w:rFonts w:hint="default" w:ascii="宋体" w:hAnsi="宋体" w:eastAsia="宋体" w:cs="Times New Roman"/>
          <w:color w:val="auto"/>
          <w:sz w:val="28"/>
          <w:szCs w:val="28"/>
          <w:lang w:val="en-US" w:eastAsia="zh-CN"/>
        </w:rPr>
        <w:t>相关规划设计、施工手续。</w:t>
      </w:r>
    </w:p>
    <w:p w14:paraId="7A6EE4E1">
      <w:pPr>
        <w:ind w:firstLine="56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因此，</w:t>
      </w:r>
      <w:r>
        <w:rPr>
          <w:rFonts w:hint="default" w:ascii="宋体" w:hAnsi="宋体" w:eastAsia="宋体" w:cs="Times New Roman"/>
          <w:color w:val="auto"/>
          <w:sz w:val="28"/>
          <w:szCs w:val="28"/>
          <w:lang w:val="en-US" w:eastAsia="zh-CN"/>
        </w:rPr>
        <w:t>为满足</w:t>
      </w:r>
      <w:r>
        <w:rPr>
          <w:rFonts w:hint="eastAsia" w:ascii="宋体" w:hAnsi="宋体" w:eastAsia="宋体" w:cs="Times New Roman"/>
          <w:color w:val="auto"/>
          <w:sz w:val="28"/>
          <w:szCs w:val="28"/>
          <w:lang w:val="en-US" w:eastAsia="zh-CN"/>
        </w:rPr>
        <w:t>广灵</w:t>
      </w:r>
      <w:r>
        <w:rPr>
          <w:rFonts w:hint="default" w:ascii="宋体" w:hAnsi="宋体" w:eastAsia="宋体" w:cs="Times New Roman"/>
          <w:color w:val="auto"/>
          <w:sz w:val="28"/>
          <w:szCs w:val="28"/>
          <w:lang w:val="en-US" w:eastAsia="zh-CN"/>
        </w:rPr>
        <w:t>县城市规划建设与管理要求,完善区域基础设施建设,加快城乡公共服务设施一体化配置，依据《</w:t>
      </w:r>
      <w:r>
        <w:rPr>
          <w:rFonts w:hint="eastAsia" w:ascii="宋体" w:hAnsi="宋体" w:eastAsia="宋体" w:cs="Times New Roman"/>
          <w:color w:val="auto"/>
          <w:sz w:val="28"/>
          <w:szCs w:val="28"/>
          <w:lang w:val="en-US" w:eastAsia="zh-CN"/>
        </w:rPr>
        <w:t>广灵</w:t>
      </w:r>
      <w:r>
        <w:rPr>
          <w:rFonts w:hint="default" w:ascii="宋体" w:hAnsi="宋体" w:eastAsia="宋体" w:cs="Times New Roman"/>
          <w:color w:val="auto"/>
          <w:sz w:val="28"/>
          <w:szCs w:val="28"/>
          <w:lang w:val="en-US" w:eastAsia="zh-CN"/>
        </w:rPr>
        <w:t>县国土空间总体规划(2021-2035年)》，结合</w:t>
      </w:r>
      <w:r>
        <w:rPr>
          <w:rFonts w:hint="eastAsia" w:ascii="宋体" w:hAnsi="宋体" w:eastAsia="宋体" w:cs="Times New Roman"/>
          <w:color w:val="auto"/>
          <w:sz w:val="28"/>
          <w:szCs w:val="28"/>
          <w:lang w:val="en-US" w:eastAsia="zh-CN"/>
        </w:rPr>
        <w:t>广灵</w:t>
      </w:r>
      <w:r>
        <w:rPr>
          <w:rFonts w:hint="default" w:ascii="宋体" w:hAnsi="宋体" w:eastAsia="宋体" w:cs="Times New Roman"/>
          <w:color w:val="auto"/>
          <w:sz w:val="28"/>
          <w:szCs w:val="28"/>
          <w:lang w:val="en-US" w:eastAsia="zh-CN"/>
        </w:rPr>
        <w:t>县控规编制的实际情况，在符合相关法律、法规及规定的前提下，对</w:t>
      </w:r>
      <w:r>
        <w:rPr>
          <w:rFonts w:hint="eastAsia" w:ascii="宋体" w:hAnsi="宋体" w:eastAsia="宋体" w:cs="Times New Roman"/>
          <w:color w:val="auto"/>
          <w:sz w:val="28"/>
          <w:szCs w:val="28"/>
          <w:lang w:val="en-US" w:eastAsia="zh-CN"/>
        </w:rPr>
        <w:t>广灵</w:t>
      </w:r>
      <w:r>
        <w:rPr>
          <w:rFonts w:hint="default" w:ascii="宋体" w:hAnsi="宋体" w:eastAsia="宋体" w:cs="Times New Roman"/>
          <w:color w:val="auto"/>
          <w:sz w:val="28"/>
          <w:szCs w:val="28"/>
          <w:lang w:val="en-US" w:eastAsia="zh-CN"/>
        </w:rPr>
        <w:t>县</w:t>
      </w:r>
      <w:r>
        <w:rPr>
          <w:rFonts w:hint="eastAsia" w:ascii="宋体" w:hAnsi="宋体" w:eastAsia="宋体" w:cs="Times New Roman"/>
          <w:color w:val="auto"/>
          <w:sz w:val="28"/>
          <w:szCs w:val="28"/>
          <w:lang w:val="en-US" w:eastAsia="zh-CN"/>
        </w:rPr>
        <w:t>城镇开发边界内、</w:t>
      </w:r>
      <w:r>
        <w:rPr>
          <w:rFonts w:hint="default" w:ascii="宋体" w:hAnsi="宋体" w:eastAsia="宋体" w:cs="Times New Roman"/>
          <w:color w:val="auto"/>
          <w:sz w:val="28"/>
          <w:szCs w:val="28"/>
          <w:lang w:val="en-US" w:eastAsia="zh-CN"/>
        </w:rPr>
        <w:t>中心城区外</w:t>
      </w:r>
      <w:r>
        <w:rPr>
          <w:rFonts w:hint="eastAsia" w:ascii="宋体" w:hAnsi="宋体" w:eastAsia="宋体" w:cs="宋体"/>
          <w:color w:val="auto"/>
          <w:sz w:val="28"/>
          <w:szCs w:val="28"/>
          <w:lang w:val="en-US" w:eastAsia="zh-CN"/>
        </w:rPr>
        <w:t>GL-LZZ-LZXB-01</w:t>
      </w:r>
      <w:r>
        <w:rPr>
          <w:rFonts w:hint="default" w:ascii="宋体" w:hAnsi="宋体" w:eastAsia="宋体" w:cs="Times New Roman"/>
          <w:color w:val="auto"/>
          <w:sz w:val="28"/>
          <w:szCs w:val="28"/>
          <w:lang w:val="en-US" w:eastAsia="zh-CN"/>
        </w:rPr>
        <w:t>地块编制</w:t>
      </w:r>
      <w:r>
        <w:rPr>
          <w:rFonts w:hint="eastAsia" w:ascii="宋体" w:hAnsi="宋体" w:eastAsia="宋体" w:cs="Times New Roman"/>
          <w:color w:val="auto"/>
          <w:sz w:val="28"/>
          <w:szCs w:val="28"/>
          <w:lang w:val="en-US" w:eastAsia="zh-CN"/>
        </w:rPr>
        <w:t>实施</w:t>
      </w:r>
      <w:r>
        <w:rPr>
          <w:rFonts w:hint="default" w:ascii="宋体" w:hAnsi="宋体" w:eastAsia="宋体" w:cs="Times New Roman"/>
          <w:color w:val="auto"/>
          <w:sz w:val="28"/>
          <w:szCs w:val="28"/>
          <w:lang w:val="en-US" w:eastAsia="zh-CN"/>
        </w:rPr>
        <w:t>性详细规划。</w:t>
      </w:r>
    </w:p>
    <w:p w14:paraId="12D4897B">
      <w:pPr>
        <w:ind w:firstLine="560"/>
        <w:rPr>
          <w:rFonts w:hint="default"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1.2规划地块概况</w:t>
      </w:r>
    </w:p>
    <w:p w14:paraId="259ADE97">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hAnsi="宋体" w:eastAsia="宋体" w:cs="宋体"/>
          <w:color w:val="auto"/>
          <w:sz w:val="28"/>
          <w:szCs w:val="28"/>
          <w:lang w:val="en-US" w:eastAsia="zh-CN"/>
        </w:rPr>
        <w:t>大同市广灵县GL-LZZ-LZXB-01</w:t>
      </w:r>
      <w:r>
        <w:rPr>
          <w:rFonts w:hint="eastAsia" w:ascii="宋体" w:hAnsi="宋体" w:eastAsia="宋体" w:cs="宋体"/>
          <w:color w:val="auto"/>
          <w:sz w:val="28"/>
          <w:szCs w:val="28"/>
          <w:highlight w:val="none"/>
          <w:lang w:val="en-US" w:eastAsia="zh-CN"/>
        </w:rPr>
        <w:t>地块</w:t>
      </w:r>
      <w:r>
        <w:rPr>
          <w:rFonts w:hint="eastAsia" w:ascii="宋体" w:hAnsi="宋体" w:eastAsia="宋体" w:cs="宋体"/>
          <w:b w:val="0"/>
          <w:bCs w:val="0"/>
          <w:color w:val="auto"/>
          <w:kern w:val="0"/>
          <w:sz w:val="28"/>
          <w:szCs w:val="28"/>
          <w:lang w:val="en-US" w:eastAsia="zh-CN" w:bidi="ar"/>
        </w:rPr>
        <w:t>位于山西省</w:t>
      </w:r>
      <w:r>
        <w:rPr>
          <w:rFonts w:hint="eastAsia" w:ascii="宋体" w:hAnsi="宋体" w:eastAsia="宋体" w:cs="宋体"/>
          <w:color w:val="auto"/>
          <w:sz w:val="28"/>
          <w:szCs w:val="28"/>
          <w:lang w:val="en-US" w:eastAsia="zh-CN"/>
        </w:rPr>
        <w:t>大同</w:t>
      </w:r>
      <w:r>
        <w:rPr>
          <w:rFonts w:hint="eastAsia" w:hAnsi="宋体" w:eastAsia="宋体" w:cs="宋体"/>
          <w:color w:val="auto"/>
          <w:sz w:val="28"/>
          <w:szCs w:val="28"/>
          <w:lang w:val="en-US" w:eastAsia="zh-CN"/>
        </w:rPr>
        <w:t>市广灵县梁庄镇梁庄西堡村西侧约618.23米处</w:t>
      </w:r>
      <w:r>
        <w:rPr>
          <w:rFonts w:hint="eastAsia" w:ascii="宋体" w:hAnsi="宋体" w:eastAsia="宋体" w:cs="宋体"/>
          <w:b w:val="0"/>
          <w:bCs w:val="0"/>
          <w:color w:val="auto"/>
          <w:sz w:val="28"/>
          <w:szCs w:val="28"/>
          <w:highlight w:val="none"/>
          <w:lang w:val="en-US" w:eastAsia="zh-CN"/>
        </w:rPr>
        <w:t>，本地块用地面积为</w:t>
      </w:r>
      <w:r>
        <w:rPr>
          <w:rFonts w:hint="eastAsia" w:hAnsi="宋体" w:cs="宋体"/>
          <w:color w:val="auto"/>
          <w:sz w:val="28"/>
          <w:szCs w:val="28"/>
          <w:highlight w:val="none"/>
          <w:lang w:val="en-US" w:eastAsia="zh-CN"/>
        </w:rPr>
        <w:t>5.7411</w:t>
      </w:r>
      <w:r>
        <w:rPr>
          <w:rFonts w:hint="eastAsia" w:ascii="宋体" w:hAnsi="宋体" w:eastAsia="宋体" w:cs="宋体"/>
          <w:color w:val="auto"/>
          <w:sz w:val="28"/>
          <w:szCs w:val="28"/>
          <w:highlight w:val="none"/>
          <w:lang w:val="en-US" w:eastAsia="zh-CN"/>
        </w:rPr>
        <w:t>公顷（</w:t>
      </w:r>
      <w:r>
        <w:rPr>
          <w:rFonts w:hint="eastAsia" w:hAnsi="宋体" w:cs="宋体"/>
          <w:color w:val="auto"/>
          <w:sz w:val="28"/>
          <w:szCs w:val="28"/>
          <w:highlight w:val="none"/>
          <w:lang w:val="en-US" w:eastAsia="zh-CN"/>
        </w:rPr>
        <w:t>86.117</w:t>
      </w:r>
      <w:r>
        <w:rPr>
          <w:rFonts w:hint="eastAsia" w:ascii="宋体" w:hAnsi="宋体" w:eastAsia="宋体" w:cs="宋体"/>
          <w:color w:val="auto"/>
          <w:sz w:val="28"/>
          <w:szCs w:val="28"/>
          <w:highlight w:val="none"/>
          <w:lang w:val="en-US" w:eastAsia="zh-CN"/>
        </w:rPr>
        <w:t>亩）</w:t>
      </w:r>
      <w:r>
        <w:rPr>
          <w:rFonts w:hint="eastAsia" w:ascii="宋体" w:hAnsi="宋体" w:eastAsia="宋体" w:cs="宋体"/>
          <w:b w:val="0"/>
          <w:bCs w:val="0"/>
          <w:color w:val="auto"/>
          <w:sz w:val="28"/>
          <w:szCs w:val="28"/>
          <w:highlight w:val="none"/>
          <w:lang w:val="en-US" w:eastAsia="zh-CN"/>
        </w:rPr>
        <w:t>。</w:t>
      </w:r>
    </w:p>
    <w:p w14:paraId="219900BE">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color w:val="auto"/>
          <w:sz w:val="28"/>
          <w:szCs w:val="28"/>
          <w:lang w:val="en-US" w:eastAsia="zh-CN"/>
        </w:rPr>
        <w:t>该地块用地为存量国有建设用地，不涉及新增建设用地</w:t>
      </w:r>
      <w:r>
        <w:rPr>
          <w:rFonts w:hint="eastAsia" w:ascii="宋体" w:hAnsi="宋体" w:eastAsia="宋体" w:cs="宋体"/>
          <w:color w:val="auto"/>
          <w:sz w:val="28"/>
          <w:szCs w:val="28"/>
          <w:highlight w:val="none"/>
          <w:lang w:val="en-US" w:eastAsia="zh-CN"/>
        </w:rPr>
        <w:t>。建设用地涉及</w:t>
      </w:r>
      <w:r>
        <w:rPr>
          <w:rFonts w:hint="eastAsia" w:hAnsi="宋体" w:eastAsia="宋体" w:cs="宋体"/>
          <w:color w:val="auto"/>
          <w:sz w:val="28"/>
          <w:szCs w:val="28"/>
          <w:highlight w:val="none"/>
          <w:lang w:val="en-US" w:eastAsia="zh-CN"/>
        </w:rPr>
        <w:t>广灵县梁庄镇梁庄西堡村</w:t>
      </w:r>
      <w:r>
        <w:rPr>
          <w:rFonts w:hint="eastAsia" w:ascii="宋体" w:hAnsi="宋体" w:eastAsia="宋体" w:cs="宋体"/>
          <w:color w:val="auto"/>
          <w:sz w:val="28"/>
          <w:szCs w:val="28"/>
          <w:highlight w:val="none"/>
          <w:lang w:val="en-US" w:eastAsia="zh-CN"/>
        </w:rPr>
        <w:t>土地，</w:t>
      </w:r>
      <w:r>
        <w:rPr>
          <w:rFonts w:hint="eastAsia" w:hAnsi="宋体" w:eastAsia="宋体" w:cs="宋体"/>
          <w:color w:val="auto"/>
          <w:sz w:val="28"/>
          <w:szCs w:val="28"/>
          <w:highlight w:val="none"/>
          <w:lang w:val="en-US" w:eastAsia="zh-CN"/>
        </w:rPr>
        <w:t>地块边界严格控制在存量国有建设用地范围内，</w:t>
      </w:r>
      <w:r>
        <w:rPr>
          <w:rFonts w:hint="eastAsia" w:ascii="宋体" w:hAnsi="宋体" w:eastAsia="宋体" w:cs="宋体"/>
          <w:color w:val="auto"/>
          <w:sz w:val="28"/>
          <w:szCs w:val="28"/>
          <w:highlight w:val="none"/>
          <w:lang w:val="en-US" w:eastAsia="zh-CN"/>
        </w:rPr>
        <w:t>共计</w:t>
      </w:r>
      <w:r>
        <w:rPr>
          <w:rFonts w:hint="eastAsia" w:hAnsi="宋体" w:eastAsia="宋体" w:cs="宋体"/>
          <w:color w:val="auto"/>
          <w:sz w:val="28"/>
          <w:szCs w:val="28"/>
          <w:highlight w:val="none"/>
          <w:lang w:val="en-US" w:eastAsia="zh-CN"/>
        </w:rPr>
        <w:t>5.7411</w:t>
      </w:r>
      <w:r>
        <w:rPr>
          <w:rFonts w:hint="eastAsia" w:ascii="宋体" w:hAnsi="宋体" w:eastAsia="宋体" w:cs="宋体"/>
          <w:color w:val="auto"/>
          <w:sz w:val="28"/>
          <w:szCs w:val="28"/>
          <w:highlight w:val="none"/>
          <w:lang w:val="en-US" w:eastAsia="zh-CN"/>
        </w:rPr>
        <w:t>公顷，作为</w:t>
      </w:r>
      <w:r>
        <w:rPr>
          <w:rFonts w:hint="eastAsia" w:hAnsi="宋体" w:eastAsia="宋体" w:cs="宋体"/>
          <w:color w:val="auto"/>
          <w:sz w:val="28"/>
          <w:szCs w:val="28"/>
          <w:highlight w:val="none"/>
          <w:lang w:val="en-US" w:eastAsia="zh-CN"/>
        </w:rPr>
        <w:t>山西大同大同东500千伏输变电工程变电站用地</w:t>
      </w:r>
      <w:r>
        <w:rPr>
          <w:rFonts w:hint="eastAsia" w:ascii="宋体" w:hAnsi="宋体" w:eastAsia="宋体" w:cs="宋体"/>
          <w:color w:val="auto"/>
          <w:sz w:val="28"/>
          <w:szCs w:val="28"/>
          <w:highlight w:val="none"/>
          <w:lang w:val="en-US" w:eastAsia="zh-CN"/>
        </w:rPr>
        <w:t>。</w:t>
      </w:r>
    </w:p>
    <w:p w14:paraId="0EB35B25">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14:paraId="63064320">
      <w:pPr>
        <w:numPr>
          <w:ilvl w:val="0"/>
          <w:numId w:val="0"/>
        </w:numPr>
        <w:ind w:firstLine="702"/>
        <w:jc w:val="both"/>
        <w:rPr>
          <w:rFonts w:hint="default" w:ascii="宋体" w:hAnsi="宋体" w:eastAsia="宋体" w:cs="宋体"/>
          <w:b/>
          <w:bCs/>
          <w:sz w:val="28"/>
          <w:szCs w:val="28"/>
          <w:lang w:val="en-US" w:eastAsia="zh-CN"/>
        </w:rPr>
        <w:sectPr>
          <w:pgSz w:w="11906" w:h="16838"/>
          <w:pgMar w:top="1440" w:right="1800" w:bottom="1440" w:left="1800" w:header="851" w:footer="992" w:gutter="0"/>
          <w:cols w:space="425" w:num="1"/>
          <w:docGrid w:type="lines" w:linePitch="312" w:charSpace="0"/>
        </w:sectPr>
      </w:pPr>
    </w:p>
    <w:p w14:paraId="1ECEDEC1">
      <w:pPr>
        <w:numPr>
          <w:ilvl w:val="0"/>
          <w:numId w:val="0"/>
        </w:numPr>
        <w:ind w:leftChars="0" w:firstLine="702"/>
        <w:jc w:val="center"/>
        <w:rPr>
          <w:rFonts w:hint="eastAsia" w:ascii="宋体" w:hAnsi="宋体" w:eastAsia="宋体" w:cs="宋体"/>
          <w:b/>
          <w:bCs/>
          <w:sz w:val="35"/>
          <w:szCs w:val="35"/>
          <w:lang w:val="en-US" w:eastAsia="zh-CN"/>
        </w:rPr>
      </w:pPr>
      <w:r>
        <w:rPr>
          <w:rFonts w:hint="eastAsia" w:ascii="宋体" w:hAnsi="宋体" w:eastAsia="宋体" w:cs="宋体"/>
          <w:b/>
          <w:bCs/>
          <w:sz w:val="35"/>
          <w:szCs w:val="35"/>
          <w:lang w:val="en-US" w:eastAsia="zh-CN"/>
        </w:rPr>
        <w:t>2.控制规划</w:t>
      </w:r>
    </w:p>
    <w:p w14:paraId="504E9719">
      <w:pPr>
        <w:numPr>
          <w:ilvl w:val="0"/>
          <w:numId w:val="0"/>
        </w:numPr>
        <w:ind w:leftChars="0" w:firstLine="702"/>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2.1用地规划</w:t>
      </w:r>
    </w:p>
    <w:p w14:paraId="3AA45DD0">
      <w:pPr>
        <w:numPr>
          <w:ilvl w:val="0"/>
          <w:numId w:val="0"/>
        </w:numPr>
        <w:ind w:leftChars="0" w:firstLine="702"/>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1.地块编码</w:t>
      </w:r>
    </w:p>
    <w:p w14:paraId="608B429A">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本次规划共1个地块，地块编码为</w:t>
      </w:r>
      <w:r>
        <w:rPr>
          <w:rFonts w:hint="eastAsia" w:ascii="宋体" w:hAnsi="宋体" w:eastAsia="宋体" w:cs="宋体"/>
          <w:color w:val="auto"/>
          <w:sz w:val="28"/>
          <w:szCs w:val="28"/>
          <w:lang w:val="en-US" w:eastAsia="zh-CN"/>
        </w:rPr>
        <w:t>GL-LZZ-LZXB-01（广灵县-梁庄镇-梁庄西堡村-01）</w:t>
      </w:r>
      <w:r>
        <w:rPr>
          <w:rFonts w:hint="eastAsia" w:ascii="宋体" w:hAnsi="宋体" w:eastAsia="宋体" w:cs="宋体"/>
          <w:color w:val="auto"/>
          <w:spacing w:val="0"/>
          <w:sz w:val="28"/>
          <w:szCs w:val="28"/>
          <w:lang w:val="en-US" w:eastAsia="zh-CN"/>
        </w:rPr>
        <w:t>。</w:t>
      </w:r>
    </w:p>
    <w:p w14:paraId="1C5A693A">
      <w:pPr>
        <w:numPr>
          <w:ilvl w:val="0"/>
          <w:numId w:val="0"/>
        </w:numPr>
        <w:ind w:leftChars="0" w:firstLine="702"/>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2.用地性质</w:t>
      </w:r>
    </w:p>
    <w:p w14:paraId="4DDF59BB">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用地性质为地块主导性质。其确定以规划功能要求为依据。</w:t>
      </w:r>
    </w:p>
    <w:p w14:paraId="2BB8A36C">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8"/>
          <w:lang w:val="en-US" w:eastAsia="zh-CN"/>
        </w:rPr>
      </w:pPr>
      <w:r>
        <w:rPr>
          <w:rFonts w:hint="eastAsia"/>
          <w:color w:val="auto"/>
          <w:sz w:val="28"/>
          <w:szCs w:val="28"/>
          <w:lang w:val="en-US" w:eastAsia="zh-CN"/>
        </w:rPr>
        <w:t>该地块为存量国有建设用地，不涉及新增建设用地</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z w:val="28"/>
          <w:szCs w:val="28"/>
          <w:lang w:val="en-US" w:eastAsia="zh-CN"/>
        </w:rPr>
        <w:t>大同市广灵县GL-LZZ-LZXB-01</w:t>
      </w:r>
      <w:r>
        <w:rPr>
          <w:rFonts w:hint="eastAsia" w:ascii="宋体" w:hAnsi="宋体" w:eastAsia="宋体" w:cs="宋体"/>
          <w:color w:val="auto"/>
          <w:sz w:val="28"/>
          <w:szCs w:val="28"/>
          <w:highlight w:val="none"/>
          <w:lang w:val="en-US" w:eastAsia="zh-CN"/>
        </w:rPr>
        <w:t>地块</w:t>
      </w:r>
      <w:r>
        <w:rPr>
          <w:rFonts w:hint="eastAsia" w:ascii="宋体" w:hAnsi="宋体" w:eastAsia="宋体" w:cs="宋体"/>
          <w:color w:val="auto"/>
          <w:spacing w:val="0"/>
          <w:sz w:val="28"/>
          <w:szCs w:val="28"/>
          <w:lang w:val="en-US" w:eastAsia="zh-CN"/>
        </w:rPr>
        <w:t>主要用于</w:t>
      </w:r>
      <w:r>
        <w:rPr>
          <w:rFonts w:hint="eastAsia"/>
          <w:color w:val="auto"/>
          <w:sz w:val="28"/>
          <w:szCs w:val="28"/>
          <w:lang w:val="en-US" w:eastAsia="zh-CN"/>
        </w:rPr>
        <w:t>山西大同大同东500千伏输变电工程（变电站）</w:t>
      </w:r>
      <w:r>
        <w:rPr>
          <w:rFonts w:hint="eastAsia" w:ascii="宋体" w:hAnsi="宋体" w:eastAsia="宋体" w:cs="宋体"/>
          <w:color w:val="auto"/>
          <w:sz w:val="28"/>
          <w:szCs w:val="28"/>
          <w:highlight w:val="none"/>
          <w:lang w:val="en-US" w:eastAsia="zh-CN"/>
        </w:rPr>
        <w:t>建设用地</w:t>
      </w:r>
      <w:r>
        <w:rPr>
          <w:rFonts w:hint="eastAsia" w:ascii="宋体" w:hAnsi="宋体" w:eastAsia="宋体" w:cs="宋体"/>
          <w:color w:val="auto"/>
          <w:spacing w:val="0"/>
          <w:sz w:val="28"/>
          <w:szCs w:val="28"/>
          <w:lang w:val="en-US" w:eastAsia="zh-CN"/>
        </w:rPr>
        <w:t>，对照《国土空间调查、规划、用途管制用地用海分类指南》，本次地块用地性质属于公用设施用地中的供电用地，用地代码为1303。</w:t>
      </w:r>
    </w:p>
    <w:p w14:paraId="5D662614">
      <w:pPr>
        <w:keepNext w:val="0"/>
        <w:keepLines w:val="0"/>
        <w:pageBreakBefore w:val="0"/>
        <w:widowControl/>
        <w:kinsoku/>
        <w:wordWrap/>
        <w:overflowPunct w:val="0"/>
        <w:topLinePunct w:val="0"/>
        <w:autoSpaceDE w:val="0"/>
        <w:autoSpaceDN w:val="0"/>
        <w:bidi w:val="0"/>
        <w:adjustRightInd w:val="0"/>
        <w:snapToGrid/>
        <w:spacing w:line="360" w:lineRule="auto"/>
        <w:ind w:firstLine="562" w:firstLineChars="200"/>
        <w:textAlignment w:val="baseline"/>
        <w:rPr>
          <w:rFonts w:hint="eastAsia"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lang w:val="en-US" w:eastAsia="zh-CN"/>
        </w:rPr>
        <w:t>3.用地面积</w:t>
      </w:r>
    </w:p>
    <w:p w14:paraId="15CB8502">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default" w:ascii="宋体" w:hAnsi="宋体" w:eastAsia="宋体" w:cs="宋体"/>
          <w:b w:val="0"/>
          <w:bCs w:val="0"/>
          <w:color w:val="auto"/>
          <w:spacing w:val="0"/>
          <w:sz w:val="28"/>
          <w:szCs w:val="28"/>
          <w:lang w:val="en-US" w:eastAsia="zh-CN"/>
        </w:rPr>
      </w:pPr>
      <w:r>
        <w:rPr>
          <w:rFonts w:hint="eastAsia" w:ascii="宋体" w:hAnsi="宋体" w:eastAsia="宋体" w:cs="宋体"/>
          <w:color w:val="auto"/>
          <w:spacing w:val="0"/>
          <w:sz w:val="28"/>
          <w:szCs w:val="28"/>
          <w:lang w:val="en-US" w:eastAsia="zh-CN"/>
        </w:rPr>
        <w:t>用地面积是指开发地块净用地面积，本次规划地块面积为</w:t>
      </w:r>
      <w:r>
        <w:rPr>
          <w:rFonts w:hint="eastAsia" w:ascii="宋体" w:hAnsi="宋体" w:cs="宋体"/>
          <w:color w:val="auto"/>
          <w:sz w:val="28"/>
          <w:szCs w:val="28"/>
          <w:highlight w:val="none"/>
          <w:lang w:val="en-US" w:eastAsia="zh-CN"/>
        </w:rPr>
        <w:t>5.7411</w:t>
      </w:r>
      <w:r>
        <w:rPr>
          <w:rFonts w:hint="eastAsia" w:ascii="宋体" w:hAnsi="宋体" w:eastAsia="宋体" w:cs="宋体"/>
          <w:color w:val="auto"/>
          <w:sz w:val="28"/>
          <w:szCs w:val="28"/>
          <w:highlight w:val="none"/>
          <w:lang w:val="en-US" w:eastAsia="zh-CN"/>
        </w:rPr>
        <w:t>公顷（</w:t>
      </w:r>
      <w:r>
        <w:rPr>
          <w:rFonts w:hint="eastAsia" w:ascii="宋体" w:hAnsi="宋体" w:cs="宋体"/>
          <w:color w:val="auto"/>
          <w:sz w:val="28"/>
          <w:szCs w:val="28"/>
          <w:highlight w:val="none"/>
          <w:lang w:val="en-US" w:eastAsia="zh-CN"/>
        </w:rPr>
        <w:t>86.117</w:t>
      </w:r>
      <w:r>
        <w:rPr>
          <w:rFonts w:hint="eastAsia" w:ascii="宋体" w:hAnsi="宋体" w:eastAsia="宋体" w:cs="宋体"/>
          <w:color w:val="auto"/>
          <w:sz w:val="28"/>
          <w:szCs w:val="28"/>
          <w:highlight w:val="none"/>
          <w:lang w:val="en-US" w:eastAsia="zh-CN"/>
        </w:rPr>
        <w:t>亩）</w:t>
      </w:r>
      <w:r>
        <w:rPr>
          <w:rFonts w:hint="eastAsia" w:ascii="宋体" w:hAnsi="宋体" w:eastAsia="宋体" w:cs="宋体"/>
          <w:color w:val="auto"/>
          <w:spacing w:val="0"/>
          <w:sz w:val="28"/>
          <w:szCs w:val="28"/>
          <w:lang w:val="en-US" w:eastAsia="zh-CN"/>
        </w:rPr>
        <w:t>。</w:t>
      </w:r>
    </w:p>
    <w:p w14:paraId="3354E131">
      <w:pPr>
        <w:keepNext w:val="0"/>
        <w:keepLines w:val="0"/>
        <w:pageBreakBefore w:val="0"/>
        <w:widowControl/>
        <w:kinsoku/>
        <w:wordWrap/>
        <w:overflowPunct w:val="0"/>
        <w:topLinePunct w:val="0"/>
        <w:autoSpaceDE w:val="0"/>
        <w:autoSpaceDN w:val="0"/>
        <w:bidi w:val="0"/>
        <w:adjustRightInd w:val="0"/>
        <w:snapToGrid/>
        <w:spacing w:line="360" w:lineRule="auto"/>
        <w:ind w:firstLine="562" w:firstLineChars="200"/>
        <w:textAlignment w:val="baseline"/>
        <w:rPr>
          <w:rFonts w:hint="default"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lang w:val="en-US" w:eastAsia="zh-CN"/>
        </w:rPr>
        <w:t>2.2指标控制</w:t>
      </w:r>
    </w:p>
    <w:p w14:paraId="5348CE69">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562" w:firstLineChars="200"/>
        <w:textAlignment w:val="baseline"/>
        <w:rPr>
          <w:rFonts w:hint="eastAsia"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lang w:val="en-US" w:eastAsia="zh-CN"/>
        </w:rPr>
        <w:t>1.容积率和建筑密度</w:t>
      </w:r>
    </w:p>
    <w:p w14:paraId="76213871">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561"/>
        <w:textAlignment w:val="baseline"/>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依据《大同市城市规划管理技术规定》，结合本项目变电站建设 性质、工艺要求和安全距离，变电站容积率均按≤0.6 进行控制，建筑密度按照≤35%进行控制。</w:t>
      </w:r>
    </w:p>
    <w:p w14:paraId="41779137">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562" w:firstLineChars="200"/>
        <w:textAlignment w:val="baseline"/>
        <w:rPr>
          <w:rFonts w:hint="eastAsia"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lang w:val="en-US" w:eastAsia="zh-CN"/>
        </w:rPr>
        <w:t>2.绿地率</w:t>
      </w:r>
    </w:p>
    <w:p w14:paraId="0902BEC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Chars="0" w:firstLine="562"/>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 xml:space="preserve">根据变电站运行要求，围墙内升压变电区基本全部做硬化处理， </w:t>
      </w:r>
      <w:r>
        <w:rPr>
          <w:rFonts w:hint="eastAsia" w:ascii="宋体" w:hAnsi="宋体" w:eastAsia="宋体" w:cs="宋体"/>
          <w:color w:val="auto"/>
          <w:spacing w:val="0"/>
          <w:sz w:val="28"/>
          <w:szCs w:val="28"/>
          <w:lang w:val="en-US" w:eastAsia="zh-CN"/>
        </w:rPr>
        <w:t>仅在主控楼周边进行适当、少量绿化</w:t>
      </w:r>
      <w:r>
        <w:rPr>
          <w:rFonts w:hint="eastAsia" w:ascii="宋体" w:hAnsi="宋体" w:eastAsia="宋体" w:cs="宋体"/>
          <w:b w:val="0"/>
          <w:bCs w:val="0"/>
          <w:color w:val="auto"/>
          <w:spacing w:val="0"/>
          <w:sz w:val="28"/>
          <w:szCs w:val="28"/>
          <w:lang w:val="en-US" w:eastAsia="zh-CN"/>
        </w:rPr>
        <w:t>。</w:t>
      </w:r>
      <w:r>
        <w:rPr>
          <w:rFonts w:hint="eastAsia" w:ascii="宋体" w:hAnsi="宋体" w:eastAsia="宋体" w:cs="宋体"/>
          <w:color w:val="auto"/>
          <w:spacing w:val="0"/>
          <w:sz w:val="28"/>
          <w:szCs w:val="28"/>
          <w:lang w:val="en-US" w:eastAsia="zh-CN"/>
        </w:rPr>
        <w:t>因此本次地块绿化率按照≥10%控制。</w:t>
      </w:r>
    </w:p>
    <w:p w14:paraId="4FA4492A">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Chars="0" w:firstLine="562" w:firstLineChars="200"/>
        <w:textAlignment w:val="baseline"/>
        <w:rPr>
          <w:rFonts w:hint="eastAsia"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lang w:val="en-US" w:eastAsia="zh-CN"/>
        </w:rPr>
        <w:t>3.建筑高度</w:t>
      </w:r>
    </w:p>
    <w:p w14:paraId="14D7C6C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Chars="0"/>
        <w:textAlignment w:val="baseline"/>
        <w:rPr>
          <w:rFonts w:hint="eastAsia"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lang w:val="en-US" w:eastAsia="zh-CN"/>
        </w:rPr>
        <w:t xml:space="preserve">    </w:t>
      </w:r>
      <w:r>
        <w:rPr>
          <w:rFonts w:hint="eastAsia" w:ascii="宋体" w:hAnsi="宋体" w:eastAsia="宋体" w:cs="宋体"/>
          <w:b w:val="0"/>
          <w:bCs w:val="0"/>
          <w:color w:val="auto"/>
          <w:spacing w:val="0"/>
          <w:sz w:val="28"/>
          <w:szCs w:val="28"/>
          <w:lang w:val="en-US" w:eastAsia="zh-CN"/>
        </w:rPr>
        <w:t>本项目变电站建筑物高度按≤20米控制。另外，</w:t>
      </w:r>
      <w:r>
        <w:rPr>
          <w:rFonts w:hint="eastAsia" w:ascii="宋体" w:hAnsi="宋体" w:eastAsia="宋体" w:cs="宋体"/>
          <w:color w:val="auto"/>
          <w:spacing w:val="0"/>
          <w:sz w:val="28"/>
          <w:szCs w:val="28"/>
          <w:lang w:val="en-US" w:eastAsia="zh-CN"/>
        </w:rPr>
        <w:t>因生产工艺要求，需在地块内建设的各类构筑物、设备等高度由生产厂家确定，本次规划仅对建筑控制限高要求，不包含对地块内变电构筑物、设备的高度要求。</w:t>
      </w:r>
    </w:p>
    <w:p w14:paraId="4A23A29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Chars="0"/>
        <w:textAlignment w:val="baseline"/>
        <w:rPr>
          <w:rFonts w:hint="default"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lang w:val="en-US" w:eastAsia="zh-CN"/>
        </w:rPr>
        <w:t xml:space="preserve">    4.</w:t>
      </w:r>
      <w:r>
        <w:rPr>
          <w:rFonts w:hint="eastAsia" w:ascii="宋体" w:hAnsi="宋体" w:eastAsia="宋体" w:cs="宋体"/>
          <w:b/>
          <w:bCs/>
          <w:color w:val="auto"/>
          <w:spacing w:val="0"/>
          <w:sz w:val="28"/>
          <w:szCs w:val="20"/>
          <w:lang w:val="en-US" w:eastAsia="zh-CN"/>
        </w:rPr>
        <w:t>建筑间距及建筑后退规定</w:t>
      </w:r>
    </w:p>
    <w:p w14:paraId="286B818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Chars="0"/>
        <w:textAlignment w:val="baseline"/>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bCs/>
          <w:color w:val="auto"/>
          <w:spacing w:val="0"/>
          <w:sz w:val="28"/>
          <w:szCs w:val="28"/>
          <w:lang w:val="en-US" w:eastAsia="zh-CN"/>
        </w:rPr>
        <w:t xml:space="preserve">    </w:t>
      </w:r>
      <w:r>
        <w:rPr>
          <w:rFonts w:hint="eastAsia" w:ascii="宋体" w:hAnsi="宋体" w:eastAsia="宋体" w:cs="宋体"/>
          <w:b w:val="0"/>
          <w:bCs w:val="0"/>
          <w:color w:val="auto"/>
          <w:spacing w:val="0"/>
          <w:sz w:val="28"/>
          <w:szCs w:val="28"/>
          <w:lang w:val="en-US" w:eastAsia="zh-CN"/>
        </w:rPr>
        <w:t>根据《火力发电厂与变电站设计防火标准》（GB50229-2019），生活建筑之间防火间距为6m。由于本次规划地块周边多为田地，无其他已建设施和敏感因素分布，考虑到节约用地的因素。本次规划地块东侧、南侧、西侧、北侧建筑后退用地边界按照不小于4m进行控制。</w:t>
      </w:r>
    </w:p>
    <w:p w14:paraId="7E0CC1D6">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Chars="0" w:firstLine="560" w:firstLineChars="200"/>
        <w:textAlignment w:val="baseline"/>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地块内建筑除应满足现行国家规范要求外，还应满足消防、卫生、工程管线敷设、安全等方面的要求。</w:t>
      </w:r>
    </w:p>
    <w:p w14:paraId="31AA1943">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Chars="0" w:firstLine="562" w:firstLineChars="200"/>
        <w:textAlignment w:val="baseline"/>
        <w:rPr>
          <w:rFonts w:hint="default"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lang w:val="en-US" w:eastAsia="zh-CN"/>
        </w:rPr>
        <w:t>5.出入口</w:t>
      </w:r>
    </w:p>
    <w:p w14:paraId="761940CE">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0"/>
          <w:lang w:val="en-US" w:eastAsia="zh-CN"/>
        </w:rPr>
      </w:pPr>
      <w:r>
        <w:rPr>
          <w:rFonts w:hint="eastAsia" w:ascii="宋体" w:hAnsi="宋体" w:eastAsia="宋体" w:cs="宋体"/>
          <w:color w:val="auto"/>
          <w:spacing w:val="0"/>
          <w:sz w:val="28"/>
          <w:szCs w:val="20"/>
          <w:lang w:val="en-US" w:eastAsia="zh-CN"/>
        </w:rPr>
        <w:t>根据该地块周边现状道路分布情况，该地块只有东侧与现状道路相连接，故将地块出入口设在地块东侧。为满足地块后续通行需求，减少道路工程量，本次将地块出入口方位设置于地块东侧。</w:t>
      </w:r>
    </w:p>
    <w:p w14:paraId="7F1365F7">
      <w:pPr>
        <w:keepNext w:val="0"/>
        <w:keepLines w:val="0"/>
        <w:pageBreakBefore w:val="0"/>
        <w:widowControl/>
        <w:kinsoku/>
        <w:wordWrap/>
        <w:overflowPunct w:val="0"/>
        <w:topLinePunct w:val="0"/>
        <w:autoSpaceDE w:val="0"/>
        <w:autoSpaceDN w:val="0"/>
        <w:bidi w:val="0"/>
        <w:adjustRightInd w:val="0"/>
        <w:snapToGrid/>
        <w:spacing w:line="360" w:lineRule="auto"/>
        <w:ind w:firstLine="562" w:firstLineChars="200"/>
        <w:textAlignment w:val="baseline"/>
        <w:rPr>
          <w:rFonts w:hint="default" w:ascii="宋体" w:hAnsi="宋体" w:eastAsia="宋体" w:cs="宋体"/>
          <w:b/>
          <w:bCs/>
          <w:color w:val="auto"/>
          <w:spacing w:val="0"/>
          <w:sz w:val="28"/>
          <w:szCs w:val="20"/>
          <w:lang w:val="en-US" w:eastAsia="zh-CN"/>
        </w:rPr>
      </w:pPr>
      <w:r>
        <w:rPr>
          <w:rFonts w:hint="eastAsia" w:ascii="宋体" w:hAnsi="宋体" w:eastAsia="宋体" w:cs="宋体"/>
          <w:b/>
          <w:bCs/>
          <w:color w:val="auto"/>
          <w:spacing w:val="0"/>
          <w:sz w:val="28"/>
          <w:szCs w:val="20"/>
          <w:lang w:val="en-US" w:eastAsia="zh-CN"/>
        </w:rPr>
        <w:t>6.机动车停车位</w:t>
      </w:r>
    </w:p>
    <w:p w14:paraId="3B5EEAC5">
      <w:pPr>
        <w:pStyle w:val="3"/>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本次地块参照厂房类，按照</w:t>
      </w:r>
      <w:r>
        <w:rPr>
          <w:rFonts w:hint="default" w:ascii="宋体" w:hAnsi="宋体" w:eastAsia="宋体" w:cs="宋体"/>
          <w:color w:val="auto"/>
          <w:kern w:val="0"/>
          <w:sz w:val="28"/>
          <w:szCs w:val="28"/>
          <w:highlight w:val="none"/>
          <w:lang w:val="en-US" w:eastAsia="zh-CN" w:bidi="ar-SA"/>
        </w:rPr>
        <w:t>III类</w:t>
      </w:r>
      <w:r>
        <w:rPr>
          <w:rFonts w:hint="eastAsia" w:ascii="宋体" w:hAnsi="宋体" w:eastAsia="宋体" w:cs="宋体"/>
          <w:color w:val="auto"/>
          <w:kern w:val="0"/>
          <w:sz w:val="28"/>
          <w:szCs w:val="28"/>
          <w:highlight w:val="none"/>
          <w:lang w:val="en-US" w:eastAsia="zh-CN" w:bidi="ar-SA"/>
        </w:rPr>
        <w:t>区执行，地块机动车配建停车泊位指标为不小于0.15车位/100m</w:t>
      </w:r>
      <w:r>
        <w:rPr>
          <w:rFonts w:hint="eastAsia" w:ascii="宋体" w:hAnsi="宋体" w:eastAsia="宋体" w:cs="宋体"/>
          <w:color w:val="auto"/>
          <w:kern w:val="0"/>
          <w:sz w:val="28"/>
          <w:szCs w:val="28"/>
          <w:highlight w:val="none"/>
          <w:vertAlign w:val="superscript"/>
          <w:lang w:val="en-US" w:eastAsia="zh-CN" w:bidi="ar-SA"/>
        </w:rPr>
        <w:t>2</w:t>
      </w:r>
      <w:r>
        <w:rPr>
          <w:rFonts w:hint="eastAsia" w:ascii="宋体" w:hAnsi="宋体" w:eastAsia="宋体" w:cs="宋体"/>
          <w:color w:val="auto"/>
          <w:kern w:val="0"/>
          <w:sz w:val="28"/>
          <w:szCs w:val="28"/>
          <w:highlight w:val="none"/>
          <w:lang w:val="en-US" w:eastAsia="zh-CN" w:bidi="ar-SA"/>
        </w:rPr>
        <w:t>建筑面积</w:t>
      </w:r>
      <w:r>
        <w:rPr>
          <w:rFonts w:hint="default" w:ascii="宋体" w:hAnsi="宋体" w:eastAsia="宋体" w:cs="宋体"/>
          <w:color w:val="auto"/>
          <w:kern w:val="0"/>
          <w:sz w:val="28"/>
          <w:szCs w:val="28"/>
          <w:highlight w:val="none"/>
          <w:lang w:val="en-US" w:eastAsia="zh-CN"/>
        </w:rPr>
        <w:t>。</w:t>
      </w:r>
    </w:p>
    <w:p w14:paraId="3F05DF51">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Chars="0"/>
        <w:jc w:val="center"/>
        <w:textAlignment w:val="baseline"/>
        <w:rPr>
          <w:rFonts w:hint="default"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4"/>
          <w:szCs w:val="24"/>
          <w:lang w:val="en-US" w:eastAsia="zh-CN"/>
        </w:rPr>
        <w:t>地块控制指标一览表</w:t>
      </w:r>
    </w:p>
    <w:tbl>
      <w:tblPr>
        <w:tblStyle w:val="8"/>
        <w:tblW w:w="51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984"/>
        <w:gridCol w:w="5568"/>
      </w:tblGrid>
      <w:tr w14:paraId="3514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693" w:type="pct"/>
            <w:tcBorders>
              <w:top w:val="single" w:color="auto" w:sz="4" w:space="0"/>
              <w:left w:val="single" w:color="auto" w:sz="4" w:space="0"/>
              <w:right w:val="single" w:color="auto" w:sz="4" w:space="0"/>
            </w:tcBorders>
            <w:noWrap w:val="0"/>
            <w:vAlign w:val="center"/>
          </w:tcPr>
          <w:p w14:paraId="58B8DF6C">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131" w:type="pct"/>
            <w:tcBorders>
              <w:top w:val="single" w:color="auto" w:sz="4" w:space="0"/>
              <w:left w:val="single" w:color="auto" w:sz="4" w:space="0"/>
              <w:right w:val="single" w:color="auto" w:sz="4" w:space="0"/>
            </w:tcBorders>
            <w:noWrap w:val="0"/>
            <w:vAlign w:val="center"/>
          </w:tcPr>
          <w:p w14:paraId="2C8128AD">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指标类型</w:t>
            </w:r>
          </w:p>
        </w:tc>
        <w:tc>
          <w:tcPr>
            <w:tcW w:w="3175" w:type="pct"/>
            <w:tcBorders>
              <w:top w:val="single" w:color="auto" w:sz="4" w:space="0"/>
              <w:left w:val="single" w:color="auto" w:sz="4" w:space="0"/>
              <w:bottom w:val="single" w:color="auto" w:sz="4" w:space="0"/>
              <w:right w:val="single" w:color="auto" w:sz="4" w:space="0"/>
            </w:tcBorders>
            <w:noWrap w:val="0"/>
            <w:vAlign w:val="center"/>
          </w:tcPr>
          <w:p w14:paraId="359CE6C9">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控制指标</w:t>
            </w:r>
          </w:p>
        </w:tc>
      </w:tr>
      <w:tr w14:paraId="2EDB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3" w:type="pct"/>
            <w:tcBorders>
              <w:top w:val="single" w:color="auto" w:sz="4" w:space="0"/>
              <w:left w:val="single" w:color="auto" w:sz="4" w:space="0"/>
              <w:right w:val="single" w:color="auto" w:sz="4" w:space="0"/>
            </w:tcBorders>
            <w:noWrap w:val="0"/>
            <w:vAlign w:val="center"/>
          </w:tcPr>
          <w:p w14:paraId="02DABE21">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w:t>
            </w:r>
          </w:p>
        </w:tc>
        <w:tc>
          <w:tcPr>
            <w:tcW w:w="1131" w:type="pct"/>
            <w:tcBorders>
              <w:top w:val="single" w:color="auto" w:sz="4" w:space="0"/>
              <w:left w:val="single" w:color="auto" w:sz="4" w:space="0"/>
              <w:right w:val="single" w:color="auto" w:sz="4" w:space="0"/>
            </w:tcBorders>
            <w:noWrap w:val="0"/>
            <w:vAlign w:val="center"/>
          </w:tcPr>
          <w:p w14:paraId="096548AB">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用地编码</w:t>
            </w:r>
          </w:p>
        </w:tc>
        <w:tc>
          <w:tcPr>
            <w:tcW w:w="3175" w:type="pct"/>
            <w:tcBorders>
              <w:top w:val="single" w:color="auto" w:sz="4" w:space="0"/>
              <w:left w:val="single" w:color="auto" w:sz="4" w:space="0"/>
              <w:bottom w:val="single" w:color="auto" w:sz="4" w:space="0"/>
              <w:right w:val="single" w:color="auto" w:sz="4" w:space="0"/>
            </w:tcBorders>
            <w:noWrap w:val="0"/>
            <w:vAlign w:val="center"/>
          </w:tcPr>
          <w:p w14:paraId="6DE84D58">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GL-LZZ-LZXB-01</w:t>
            </w:r>
          </w:p>
        </w:tc>
      </w:tr>
      <w:tr w14:paraId="2D4E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3" w:type="pct"/>
            <w:tcBorders>
              <w:top w:val="single" w:color="auto" w:sz="4" w:space="0"/>
              <w:left w:val="single" w:color="auto" w:sz="4" w:space="0"/>
              <w:bottom w:val="single" w:color="auto" w:sz="4" w:space="0"/>
              <w:right w:val="single" w:color="auto" w:sz="4" w:space="0"/>
            </w:tcBorders>
            <w:noWrap w:val="0"/>
            <w:vAlign w:val="center"/>
          </w:tcPr>
          <w:p w14:paraId="0D1BB32B">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3B144EFD">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用地性质</w:t>
            </w:r>
          </w:p>
        </w:tc>
        <w:tc>
          <w:tcPr>
            <w:tcW w:w="3175" w:type="pct"/>
            <w:tcBorders>
              <w:top w:val="single" w:color="auto" w:sz="4" w:space="0"/>
              <w:left w:val="single" w:color="auto" w:sz="4" w:space="0"/>
              <w:bottom w:val="single" w:color="auto" w:sz="4" w:space="0"/>
              <w:right w:val="single" w:color="auto" w:sz="4" w:space="0"/>
            </w:tcBorders>
            <w:noWrap w:val="0"/>
            <w:vAlign w:val="center"/>
          </w:tcPr>
          <w:p w14:paraId="3B241D51">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供电用地（1303）</w:t>
            </w:r>
          </w:p>
        </w:tc>
      </w:tr>
      <w:tr w14:paraId="5249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3" w:type="pct"/>
            <w:tcBorders>
              <w:top w:val="single" w:color="auto" w:sz="4" w:space="0"/>
              <w:left w:val="single" w:color="auto" w:sz="4" w:space="0"/>
              <w:bottom w:val="single" w:color="auto" w:sz="4" w:space="0"/>
              <w:right w:val="single" w:color="auto" w:sz="4" w:space="0"/>
            </w:tcBorders>
            <w:noWrap w:val="0"/>
            <w:vAlign w:val="center"/>
          </w:tcPr>
          <w:p w14:paraId="670083D1">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57249D77">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用地面积</w:t>
            </w:r>
          </w:p>
        </w:tc>
        <w:tc>
          <w:tcPr>
            <w:tcW w:w="3175" w:type="pct"/>
            <w:tcBorders>
              <w:top w:val="single" w:color="auto" w:sz="4" w:space="0"/>
              <w:left w:val="single" w:color="auto" w:sz="4" w:space="0"/>
              <w:bottom w:val="single" w:color="auto" w:sz="4" w:space="0"/>
              <w:right w:val="single" w:color="auto" w:sz="4" w:space="0"/>
            </w:tcBorders>
            <w:noWrap w:val="0"/>
            <w:vAlign w:val="center"/>
          </w:tcPr>
          <w:p w14:paraId="30A569EE">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5.7411</w:t>
            </w:r>
          </w:p>
        </w:tc>
      </w:tr>
      <w:tr w14:paraId="37C5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3" w:type="pct"/>
            <w:tcBorders>
              <w:top w:val="single" w:color="auto" w:sz="4" w:space="0"/>
              <w:left w:val="single" w:color="auto" w:sz="4" w:space="0"/>
              <w:bottom w:val="single" w:color="auto" w:sz="4" w:space="0"/>
              <w:right w:val="single" w:color="auto" w:sz="4" w:space="0"/>
            </w:tcBorders>
            <w:noWrap w:val="0"/>
            <w:vAlign w:val="center"/>
          </w:tcPr>
          <w:p w14:paraId="3E4DCEA4">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4</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7B697B19">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容积率</w:t>
            </w:r>
          </w:p>
        </w:tc>
        <w:tc>
          <w:tcPr>
            <w:tcW w:w="3175" w:type="pct"/>
            <w:tcBorders>
              <w:top w:val="single" w:color="auto" w:sz="4" w:space="0"/>
              <w:left w:val="single" w:color="auto" w:sz="4" w:space="0"/>
              <w:bottom w:val="single" w:color="auto" w:sz="4" w:space="0"/>
              <w:right w:val="single" w:color="auto" w:sz="4" w:space="0"/>
            </w:tcBorders>
            <w:noWrap w:val="0"/>
            <w:vAlign w:val="center"/>
          </w:tcPr>
          <w:p w14:paraId="14260185">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0.6</w:t>
            </w:r>
          </w:p>
        </w:tc>
      </w:tr>
      <w:tr w14:paraId="2FB9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3" w:type="pct"/>
            <w:tcBorders>
              <w:top w:val="single" w:color="auto" w:sz="4" w:space="0"/>
              <w:left w:val="single" w:color="auto" w:sz="4" w:space="0"/>
              <w:bottom w:val="single" w:color="auto" w:sz="4" w:space="0"/>
              <w:right w:val="single" w:color="auto" w:sz="4" w:space="0"/>
            </w:tcBorders>
            <w:noWrap w:val="0"/>
            <w:vAlign w:val="center"/>
          </w:tcPr>
          <w:p w14:paraId="540F389A">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5</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6F96CCC7">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建筑密度</w:t>
            </w:r>
          </w:p>
        </w:tc>
        <w:tc>
          <w:tcPr>
            <w:tcW w:w="3175" w:type="pct"/>
            <w:tcBorders>
              <w:top w:val="single" w:color="auto" w:sz="4" w:space="0"/>
              <w:left w:val="single" w:color="auto" w:sz="4" w:space="0"/>
              <w:bottom w:val="single" w:color="auto" w:sz="4" w:space="0"/>
              <w:right w:val="single" w:color="auto" w:sz="4" w:space="0"/>
            </w:tcBorders>
            <w:noWrap w:val="0"/>
            <w:vAlign w:val="center"/>
          </w:tcPr>
          <w:p w14:paraId="77D22596">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35%</w:t>
            </w:r>
          </w:p>
        </w:tc>
      </w:tr>
      <w:tr w14:paraId="3464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3" w:type="pct"/>
            <w:tcBorders>
              <w:top w:val="single" w:color="auto" w:sz="4" w:space="0"/>
              <w:left w:val="single" w:color="auto" w:sz="4" w:space="0"/>
              <w:bottom w:val="single" w:color="auto" w:sz="4" w:space="0"/>
              <w:right w:val="single" w:color="auto" w:sz="4" w:space="0"/>
            </w:tcBorders>
            <w:noWrap w:val="0"/>
            <w:vAlign w:val="center"/>
          </w:tcPr>
          <w:p w14:paraId="452E410A">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6</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335E6007">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绿地率</w:t>
            </w:r>
          </w:p>
        </w:tc>
        <w:tc>
          <w:tcPr>
            <w:tcW w:w="3175" w:type="pct"/>
            <w:tcBorders>
              <w:top w:val="single" w:color="auto" w:sz="4" w:space="0"/>
              <w:left w:val="single" w:color="auto" w:sz="4" w:space="0"/>
              <w:bottom w:val="single" w:color="auto" w:sz="4" w:space="0"/>
              <w:right w:val="single" w:color="auto" w:sz="4" w:space="0"/>
            </w:tcBorders>
            <w:noWrap w:val="0"/>
            <w:vAlign w:val="center"/>
          </w:tcPr>
          <w:p w14:paraId="3DDB299D">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r>
      <w:tr w14:paraId="7F9B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3" w:type="pct"/>
            <w:tcBorders>
              <w:top w:val="single" w:color="auto" w:sz="4" w:space="0"/>
              <w:left w:val="single" w:color="auto" w:sz="4" w:space="0"/>
              <w:bottom w:val="single" w:color="auto" w:sz="4" w:space="0"/>
              <w:right w:val="single" w:color="auto" w:sz="4" w:space="0"/>
            </w:tcBorders>
            <w:noWrap w:val="0"/>
            <w:vAlign w:val="center"/>
          </w:tcPr>
          <w:p w14:paraId="7DB16A02">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7</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0E7FA3FC">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建筑高度</w:t>
            </w:r>
          </w:p>
        </w:tc>
        <w:tc>
          <w:tcPr>
            <w:tcW w:w="3175" w:type="pct"/>
            <w:tcBorders>
              <w:top w:val="single" w:color="auto" w:sz="4" w:space="0"/>
              <w:left w:val="single" w:color="auto" w:sz="4" w:space="0"/>
              <w:bottom w:val="single" w:color="auto" w:sz="4" w:space="0"/>
              <w:right w:val="single" w:color="auto" w:sz="4" w:space="0"/>
            </w:tcBorders>
            <w:noWrap w:val="0"/>
            <w:vAlign w:val="center"/>
          </w:tcPr>
          <w:p w14:paraId="4D0E1922">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≤20m</w:t>
            </w:r>
          </w:p>
          <w:p w14:paraId="1E14CEB5">
            <w:pPr>
              <w:keepNext w:val="0"/>
              <w:keepLines w:val="0"/>
              <w:pageBreakBefore w:val="0"/>
              <w:suppressLineNumbers w:val="0"/>
              <w:wordWrap/>
              <w:overflowPunct w:val="0"/>
              <w:topLinePunct w:val="0"/>
              <w:bidi w:val="0"/>
              <w:spacing w:before="0" w:beforeAutospacing="0" w:after="0" w:afterAutospacing="0" w:line="360" w:lineRule="auto"/>
              <w:ind w:left="0" w:right="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kern w:val="2"/>
                <w:sz w:val="24"/>
                <w:szCs w:val="24"/>
                <w:highlight w:val="none"/>
                <w:vertAlign w:val="baseline"/>
                <w:lang w:val="en-US" w:eastAsia="zh-CN" w:bidi="ar-SA"/>
              </w:rPr>
              <w:t>不包含对地块内构筑物、变电设施、设备的高度要求。</w:t>
            </w:r>
            <w:r>
              <w:rPr>
                <w:rFonts w:hint="eastAsia" w:ascii="宋体" w:hAnsi="宋体" w:eastAsia="宋体" w:cs="宋体"/>
                <w:color w:val="auto"/>
                <w:sz w:val="24"/>
                <w:szCs w:val="24"/>
                <w:highlight w:val="none"/>
                <w:vertAlign w:val="baseline"/>
                <w:lang w:val="en-US" w:eastAsia="zh-CN"/>
              </w:rPr>
              <w:t>）</w:t>
            </w:r>
          </w:p>
        </w:tc>
      </w:tr>
      <w:tr w14:paraId="0C76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3" w:type="pct"/>
            <w:tcBorders>
              <w:top w:val="single" w:color="auto" w:sz="4" w:space="0"/>
              <w:left w:val="single" w:color="auto" w:sz="4" w:space="0"/>
              <w:bottom w:val="single" w:color="auto" w:sz="4" w:space="0"/>
              <w:right w:val="single" w:color="auto" w:sz="4" w:space="0"/>
            </w:tcBorders>
            <w:noWrap w:val="0"/>
            <w:vAlign w:val="center"/>
          </w:tcPr>
          <w:p w14:paraId="3E78BC96">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23E77E18">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停车泊位</w:t>
            </w:r>
          </w:p>
        </w:tc>
        <w:tc>
          <w:tcPr>
            <w:tcW w:w="3175" w:type="pct"/>
            <w:tcBorders>
              <w:top w:val="single" w:color="auto" w:sz="4" w:space="0"/>
              <w:left w:val="single" w:color="auto" w:sz="4" w:space="0"/>
              <w:bottom w:val="single" w:color="auto" w:sz="4" w:space="0"/>
              <w:right w:val="single" w:color="auto" w:sz="4" w:space="0"/>
            </w:tcBorders>
            <w:noWrap w:val="0"/>
            <w:vAlign w:val="center"/>
          </w:tcPr>
          <w:p w14:paraId="054DE9C0">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≥0.15车位/100㎡建筑面积</w:t>
            </w:r>
          </w:p>
        </w:tc>
      </w:tr>
      <w:tr w14:paraId="3774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93" w:type="pct"/>
            <w:tcBorders>
              <w:top w:val="single" w:color="auto" w:sz="4" w:space="0"/>
              <w:left w:val="single" w:color="auto" w:sz="4" w:space="0"/>
              <w:bottom w:val="single" w:color="auto" w:sz="4" w:space="0"/>
              <w:right w:val="single" w:color="auto" w:sz="4" w:space="0"/>
            </w:tcBorders>
            <w:noWrap w:val="0"/>
            <w:vAlign w:val="center"/>
          </w:tcPr>
          <w:p w14:paraId="1DA5CDB2">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6B47AC87">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出入口方位</w:t>
            </w:r>
          </w:p>
        </w:tc>
        <w:tc>
          <w:tcPr>
            <w:tcW w:w="3175" w:type="pct"/>
            <w:tcBorders>
              <w:top w:val="single" w:color="auto" w:sz="4" w:space="0"/>
              <w:left w:val="single" w:color="auto" w:sz="4" w:space="0"/>
              <w:bottom w:val="single" w:color="auto" w:sz="4" w:space="0"/>
              <w:right w:val="single" w:color="auto" w:sz="4" w:space="0"/>
            </w:tcBorders>
            <w:noWrap w:val="0"/>
            <w:vAlign w:val="center"/>
          </w:tcPr>
          <w:p w14:paraId="4D5DDC56">
            <w:pPr>
              <w:pStyle w:val="4"/>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63" w:afterLines="20" w:line="240" w:lineRule="auto"/>
              <w:ind w:left="0" w:right="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东侧</w:t>
            </w:r>
          </w:p>
        </w:tc>
      </w:tr>
    </w:tbl>
    <w:p w14:paraId="3FEF6BF5">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textAlignment w:val="baseline"/>
        <w:rPr>
          <w:rFonts w:hint="default" w:ascii="宋体" w:hAnsi="宋体" w:eastAsia="宋体" w:cs="宋体"/>
          <w:b w:val="0"/>
          <w:bCs w:val="0"/>
          <w:color w:val="auto"/>
          <w:spacing w:val="0"/>
          <w:sz w:val="28"/>
          <w:szCs w:val="28"/>
          <w:lang w:val="en-US" w:eastAsia="zh-CN"/>
        </w:rPr>
        <w:sectPr>
          <w:pgSz w:w="11906" w:h="16838"/>
          <w:pgMar w:top="1440" w:right="1800" w:bottom="1440" w:left="1800" w:header="851" w:footer="992" w:gutter="0"/>
          <w:cols w:space="425" w:num="1"/>
          <w:docGrid w:type="lines" w:linePitch="312" w:charSpace="0"/>
        </w:sectPr>
      </w:pPr>
    </w:p>
    <w:p w14:paraId="74C75459">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Chars="0" w:firstLine="2811" w:firstLineChars="800"/>
        <w:jc w:val="both"/>
        <w:textAlignment w:val="baseline"/>
        <w:rPr>
          <w:rFonts w:hint="eastAsia" w:ascii="宋体" w:hAnsi="宋体" w:eastAsia="宋体" w:cs="宋体"/>
          <w:b/>
          <w:bCs/>
          <w:color w:val="auto"/>
          <w:spacing w:val="0"/>
          <w:sz w:val="35"/>
          <w:szCs w:val="35"/>
          <w:lang w:val="en-US" w:eastAsia="zh-CN"/>
        </w:rPr>
      </w:pPr>
      <w:r>
        <w:rPr>
          <w:rFonts w:hint="eastAsia" w:ascii="宋体" w:hAnsi="宋体" w:eastAsia="宋体" w:cs="宋体"/>
          <w:b/>
          <w:bCs/>
          <w:color w:val="auto"/>
          <w:spacing w:val="0"/>
          <w:sz w:val="35"/>
          <w:szCs w:val="35"/>
          <w:lang w:val="en-US" w:eastAsia="zh-CN"/>
        </w:rPr>
        <w:t>3.市政基础设施规划</w:t>
      </w:r>
    </w:p>
    <w:p w14:paraId="6A6459FC">
      <w:pPr>
        <w:pStyle w:val="2"/>
        <w:pageBreakBefore w:val="0"/>
        <w:kinsoku/>
        <w:wordWrap/>
        <w:overflowPunct w:val="0"/>
        <w:topLinePunct w:val="0"/>
        <w:bidi w:val="0"/>
        <w:snapToGrid/>
        <w:spacing w:line="360" w:lineRule="auto"/>
        <w:ind w:firstLine="883"/>
        <w:rPr>
          <w:rFonts w:hint="eastAsia" w:ascii="宋体" w:hAnsi="宋体" w:eastAsia="宋体" w:cs="宋体"/>
          <w:color w:val="auto"/>
          <w:spacing w:val="0"/>
          <w:sz w:val="28"/>
          <w:szCs w:val="28"/>
          <w:lang w:val="en-US" w:eastAsia="zh-CN"/>
        </w:rPr>
      </w:pPr>
      <w:bookmarkStart w:id="0" w:name="_Toc469408434"/>
      <w:bookmarkStart w:id="1" w:name="_Toc8838"/>
      <w:bookmarkStart w:id="2" w:name="_Toc491540227"/>
      <w:bookmarkStart w:id="3" w:name="_Toc332295960"/>
      <w:bookmarkStart w:id="4" w:name="_Toc15198"/>
      <w:r>
        <w:rPr>
          <w:rFonts w:hint="eastAsia" w:ascii="宋体" w:hAnsi="宋体" w:eastAsia="宋体" w:cs="宋体"/>
          <w:color w:val="auto"/>
          <w:spacing w:val="0"/>
          <w:sz w:val="28"/>
          <w:szCs w:val="28"/>
          <w:lang w:val="en-US" w:eastAsia="zh-CN"/>
        </w:rPr>
        <w:t>3.1给水工程规划</w:t>
      </w:r>
      <w:bookmarkEnd w:id="0"/>
      <w:bookmarkEnd w:id="1"/>
      <w:bookmarkEnd w:id="2"/>
      <w:bookmarkEnd w:id="3"/>
      <w:bookmarkEnd w:id="4"/>
    </w:p>
    <w:p w14:paraId="654E4398">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1.供水水源</w:t>
      </w:r>
    </w:p>
    <w:p w14:paraId="0593254E">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default" w:ascii="宋体" w:hAnsi="宋体" w:eastAsia="宋体" w:cs="宋体"/>
          <w:color w:val="auto"/>
          <w:spacing w:val="0"/>
          <w:sz w:val="28"/>
          <w:szCs w:val="20"/>
          <w:lang w:val="en-US" w:eastAsia="zh-CN"/>
        </w:rPr>
      </w:pPr>
      <w:r>
        <w:rPr>
          <w:rFonts w:hint="eastAsia" w:ascii="宋体" w:hAnsi="宋体" w:eastAsia="宋体" w:cs="宋体"/>
          <w:color w:val="auto"/>
          <w:spacing w:val="0"/>
          <w:sz w:val="28"/>
          <w:szCs w:val="20"/>
          <w:lang w:val="en-US" w:eastAsia="zh-CN"/>
        </w:rPr>
        <w:t>本次地块用水水源引自地块东侧梁庄西堡村供水管网。</w:t>
      </w:r>
    </w:p>
    <w:p w14:paraId="16D46BBE">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2.用水量预测</w:t>
      </w:r>
    </w:p>
    <w:p w14:paraId="33A072A6">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0"/>
          <w:lang w:val="en-US" w:eastAsia="zh-CN"/>
        </w:rPr>
      </w:pPr>
      <w:r>
        <w:rPr>
          <w:rFonts w:hint="eastAsia" w:ascii="宋体" w:hAnsi="宋体" w:eastAsia="宋体" w:cs="宋体"/>
          <w:color w:val="auto"/>
          <w:spacing w:val="0"/>
          <w:sz w:val="28"/>
          <w:szCs w:val="20"/>
          <w:lang w:val="en-US" w:eastAsia="zh-CN"/>
        </w:rPr>
        <w:t xml:space="preserve">1）生活用水量 </w:t>
      </w:r>
    </w:p>
    <w:p w14:paraId="694A12ED">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0"/>
          <w:lang w:val="en-US" w:eastAsia="zh-CN"/>
        </w:rPr>
      </w:pPr>
      <w:r>
        <w:rPr>
          <w:rFonts w:hint="eastAsia" w:ascii="宋体" w:hAnsi="宋体" w:eastAsia="宋体" w:cs="宋体"/>
          <w:color w:val="auto"/>
          <w:spacing w:val="0"/>
          <w:sz w:val="28"/>
          <w:szCs w:val="20"/>
          <w:lang w:val="en-US" w:eastAsia="zh-CN"/>
        </w:rPr>
        <w:t xml:space="preserve">本次地块内预计职工人员为11人，每人每日最高日生活用水定额为200L，未预见用水量按15%，计算得本地块生活用水量为：2.64m³/d。 </w:t>
      </w:r>
    </w:p>
    <w:p w14:paraId="33784EE4">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0"/>
          <w:lang w:val="en-US" w:eastAsia="zh-CN"/>
        </w:rPr>
      </w:pPr>
      <w:r>
        <w:rPr>
          <w:rFonts w:hint="eastAsia" w:ascii="宋体" w:hAnsi="宋体" w:eastAsia="宋体" w:cs="宋体"/>
          <w:color w:val="auto"/>
          <w:spacing w:val="0"/>
          <w:sz w:val="28"/>
          <w:szCs w:val="20"/>
          <w:lang w:val="en-US" w:eastAsia="zh-CN"/>
        </w:rPr>
        <w:t xml:space="preserve">（2）消防用水量 </w:t>
      </w:r>
    </w:p>
    <w:p w14:paraId="4FE97540">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0"/>
          <w:lang w:val="en-US" w:eastAsia="zh-CN"/>
        </w:rPr>
      </w:pPr>
      <w:r>
        <w:rPr>
          <w:rFonts w:hint="eastAsia" w:ascii="宋体" w:hAnsi="宋体" w:eastAsia="宋体" w:cs="宋体"/>
          <w:color w:val="auto"/>
          <w:spacing w:val="0"/>
          <w:sz w:val="28"/>
          <w:szCs w:val="20"/>
          <w:lang w:val="en-US" w:eastAsia="zh-CN"/>
        </w:rPr>
        <w:t xml:space="preserve">根据《建筑设计防火规范》（GB50016-2014，2018 年版）及《消防给水及消火栓系统技术规范》（GB50974-2014），地块内同一时间内的火灾次数为一次，火灾持续时间按2小时。 </w:t>
      </w:r>
    </w:p>
    <w:p w14:paraId="66A5BF80">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color w:val="auto"/>
          <w:spacing w:val="0"/>
          <w:sz w:val="28"/>
          <w:szCs w:val="20"/>
          <w:lang w:val="en-US" w:eastAsia="zh-CN"/>
        </w:rPr>
      </w:pPr>
      <w:r>
        <w:rPr>
          <w:rFonts w:hint="eastAsia" w:ascii="宋体" w:hAnsi="宋体" w:eastAsia="宋体" w:cs="宋体"/>
          <w:color w:val="auto"/>
          <w:spacing w:val="0"/>
          <w:sz w:val="28"/>
          <w:szCs w:val="20"/>
          <w:lang w:val="en-US" w:eastAsia="zh-CN"/>
        </w:rPr>
        <w:t>室外消防用水：室外消火栓设计用水量按最大一栋建筑考虑，为 15L/s。计算得，本次地块室外消用水量为：Q1=15L/s×3600s×2=108000L=108m³</w:t>
      </w:r>
    </w:p>
    <w:p w14:paraId="616539D6">
      <w:pPr>
        <w:keepNext w:val="0"/>
        <w:keepLines w:val="0"/>
        <w:pageBreakBefore w:val="0"/>
        <w:widowControl/>
        <w:kinsoku/>
        <w:wordWrap/>
        <w:overflowPunct w:val="0"/>
        <w:topLinePunct w:val="0"/>
        <w:autoSpaceDE w:val="0"/>
        <w:autoSpaceDN w:val="0"/>
        <w:bidi w:val="0"/>
        <w:adjustRightInd w:val="0"/>
        <w:snapToGrid/>
        <w:spacing w:line="360" w:lineRule="auto"/>
        <w:ind w:firstLine="562" w:firstLineChars="200"/>
        <w:textAlignment w:val="baseline"/>
        <w:rPr>
          <w:rFonts w:hint="eastAsia" w:ascii="宋体" w:hAnsi="宋体" w:eastAsia="宋体" w:cs="宋体"/>
          <w:b/>
          <w:bCs/>
          <w:color w:val="auto"/>
          <w:spacing w:val="0"/>
          <w:sz w:val="28"/>
          <w:szCs w:val="20"/>
          <w:lang w:val="en-US" w:eastAsia="zh-CN"/>
        </w:rPr>
      </w:pPr>
      <w:r>
        <w:rPr>
          <w:rFonts w:hint="eastAsia" w:ascii="宋体" w:hAnsi="宋体" w:eastAsia="宋体" w:cs="宋体"/>
          <w:b/>
          <w:bCs/>
          <w:color w:val="auto"/>
          <w:spacing w:val="0"/>
          <w:sz w:val="28"/>
          <w:szCs w:val="20"/>
          <w:lang w:val="en-US" w:eastAsia="zh-CN"/>
        </w:rPr>
        <w:t>3.2排水工程规划</w:t>
      </w:r>
    </w:p>
    <w:p w14:paraId="14CB6504">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1.排水体制</w:t>
      </w:r>
    </w:p>
    <w:p w14:paraId="502A65F9">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本</w:t>
      </w:r>
      <w:r>
        <w:rPr>
          <w:rFonts w:hint="eastAsia" w:hAnsi="宋体" w:eastAsia="宋体" w:cs="宋体"/>
          <w:b w:val="0"/>
          <w:bCs w:val="0"/>
          <w:color w:val="auto"/>
          <w:kern w:val="2"/>
          <w:sz w:val="28"/>
          <w:szCs w:val="28"/>
          <w:highlight w:val="none"/>
          <w:lang w:val="en-US" w:eastAsia="zh-CN" w:bidi="ar-SA"/>
        </w:rPr>
        <w:t>次规划</w:t>
      </w:r>
      <w:r>
        <w:rPr>
          <w:rFonts w:hint="eastAsia" w:ascii="宋体" w:hAnsi="宋体" w:eastAsia="宋体" w:cs="宋体"/>
          <w:b w:val="0"/>
          <w:bCs w:val="0"/>
          <w:color w:val="auto"/>
          <w:kern w:val="2"/>
          <w:sz w:val="28"/>
          <w:szCs w:val="28"/>
          <w:highlight w:val="none"/>
          <w:lang w:val="en-US" w:eastAsia="zh-CN" w:bidi="ar-SA"/>
        </w:rPr>
        <w:t>地块排水采用雨、污分流制。</w:t>
      </w:r>
    </w:p>
    <w:p w14:paraId="062F0195">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2.污水工程规划</w:t>
      </w:r>
    </w:p>
    <w:p w14:paraId="63117771">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（1）生活污水：污水按生活用水量的80%计算，约为</w:t>
      </w:r>
      <w:r>
        <w:rPr>
          <w:rFonts w:hint="eastAsia" w:hAnsi="宋体" w:eastAsia="宋体" w:cs="宋体"/>
          <w:b w:val="0"/>
          <w:bCs w:val="0"/>
          <w:color w:val="auto"/>
          <w:kern w:val="2"/>
          <w:sz w:val="28"/>
          <w:szCs w:val="28"/>
          <w:highlight w:val="none"/>
          <w:lang w:val="en-US" w:eastAsia="zh-CN" w:bidi="ar-SA"/>
        </w:rPr>
        <w:t>2.11</w:t>
      </w:r>
      <w:r>
        <w:rPr>
          <w:rFonts w:hint="eastAsia" w:ascii="宋体" w:hAnsi="宋体" w:eastAsia="宋体" w:cs="宋体"/>
          <w:b w:val="0"/>
          <w:bCs w:val="0"/>
          <w:color w:val="auto"/>
          <w:kern w:val="2"/>
          <w:sz w:val="28"/>
          <w:szCs w:val="28"/>
          <w:highlight w:val="none"/>
          <w:lang w:val="en-US" w:eastAsia="zh-CN" w:bidi="ar-SA"/>
        </w:rPr>
        <w:t>m³/d。 站区设有生活污水排水系统，卫生间污水经地下污水管网收集至一体化污水处理设备，处理后的废水进</w:t>
      </w:r>
      <w:r>
        <w:rPr>
          <w:rFonts w:hint="eastAsia" w:hAnsi="宋体" w:eastAsia="宋体" w:cs="宋体"/>
          <w:b w:val="0"/>
          <w:bCs w:val="0"/>
          <w:color w:val="auto"/>
          <w:kern w:val="2"/>
          <w:sz w:val="28"/>
          <w:szCs w:val="28"/>
          <w:highlight w:val="none"/>
          <w:lang w:val="en-US" w:eastAsia="zh-CN" w:bidi="ar-SA"/>
        </w:rPr>
        <w:t>入</w:t>
      </w:r>
      <w:r>
        <w:rPr>
          <w:rFonts w:hint="eastAsia" w:ascii="宋体" w:hAnsi="宋体" w:eastAsia="宋体" w:cs="宋体"/>
          <w:b w:val="0"/>
          <w:bCs w:val="0"/>
          <w:color w:val="auto"/>
          <w:kern w:val="2"/>
          <w:sz w:val="28"/>
          <w:szCs w:val="28"/>
          <w:highlight w:val="none"/>
          <w:lang w:val="en-US" w:eastAsia="zh-CN" w:bidi="ar-SA"/>
        </w:rPr>
        <w:t>废水池</w:t>
      </w:r>
      <w:r>
        <w:rPr>
          <w:rFonts w:hint="eastAsia" w:hAnsi="宋体" w:eastAsia="宋体" w:cs="宋体"/>
          <w:b w:val="0"/>
          <w:bCs w:val="0"/>
          <w:color w:val="auto"/>
          <w:kern w:val="2"/>
          <w:sz w:val="28"/>
          <w:szCs w:val="28"/>
          <w:highlight w:val="none"/>
          <w:lang w:val="en-US" w:eastAsia="zh-CN" w:bidi="ar-SA"/>
        </w:rPr>
        <w:t>，</w:t>
      </w:r>
      <w:r>
        <w:rPr>
          <w:rFonts w:hint="eastAsia" w:ascii="宋体" w:hAnsi="宋体" w:eastAsia="宋体" w:cs="宋体"/>
          <w:b w:val="0"/>
          <w:bCs w:val="0"/>
          <w:color w:val="auto"/>
          <w:kern w:val="2"/>
          <w:sz w:val="28"/>
          <w:szCs w:val="28"/>
          <w:highlight w:val="none"/>
          <w:lang w:val="en-US" w:eastAsia="zh-CN" w:bidi="ar-SA"/>
        </w:rPr>
        <w:t>定期处理或用于站内道路浇洒等。</w:t>
      </w:r>
    </w:p>
    <w:p w14:paraId="65DEE5F6">
      <w:pPr>
        <w:spacing w:line="360" w:lineRule="auto"/>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（2）主变压器事故油池排水：</w:t>
      </w:r>
      <w:r>
        <w:rPr>
          <w:rFonts w:hint="eastAsia" w:hAnsi="宋体" w:eastAsia="宋体" w:cs="宋体"/>
          <w:b w:val="0"/>
          <w:bCs w:val="0"/>
          <w:color w:val="auto"/>
          <w:kern w:val="2"/>
          <w:sz w:val="28"/>
          <w:szCs w:val="28"/>
          <w:highlight w:val="none"/>
          <w:lang w:val="en-US" w:eastAsia="zh-CN" w:bidi="ar-SA"/>
        </w:rPr>
        <w:t>地块</w:t>
      </w:r>
      <w:r>
        <w:rPr>
          <w:rFonts w:hint="eastAsia" w:ascii="宋体" w:hAnsi="宋体" w:eastAsia="宋体" w:cs="宋体"/>
          <w:b w:val="0"/>
          <w:bCs w:val="0"/>
          <w:color w:val="auto"/>
          <w:kern w:val="2"/>
          <w:sz w:val="28"/>
          <w:szCs w:val="28"/>
          <w:highlight w:val="none"/>
          <w:lang w:val="en-US" w:eastAsia="zh-CN" w:bidi="ar-SA"/>
        </w:rPr>
        <w:t>内设有事故排油系统。</w:t>
      </w:r>
      <w:r>
        <w:rPr>
          <w:rFonts w:hint="eastAsia" w:ascii="宋体" w:hAnsi="宋体" w:eastAsia="宋体" w:cs="Times New Roman"/>
          <w:color w:val="auto"/>
          <w:spacing w:val="0"/>
          <w:sz w:val="28"/>
          <w:szCs w:val="28"/>
        </w:rPr>
        <w:t xml:space="preserve">站内设带有油水分离功能的事故油池1座，用于存放事故状态下的主变压器排油。含油污水排入事故油池，经油水分离后，处理合格的废水排至站外，分离出的废油用专用运输车运至指定地点，防止污染环境。 </w:t>
      </w:r>
    </w:p>
    <w:p w14:paraId="5C09B04A">
      <w:pPr>
        <w:keepLines w:val="0"/>
        <w:pageBreakBefore w:val="0"/>
        <w:wordWrap/>
        <w:overflowPunct w:val="0"/>
        <w:topLinePunct w:val="0"/>
        <w:bidi w:val="0"/>
        <w:spacing w:line="360" w:lineRule="auto"/>
        <w:ind w:firstLine="560" w:firstLineChars="200"/>
        <w:rPr>
          <w:rFonts w:hint="eastAsia" w:ascii="宋体" w:hAnsi="宋体" w:eastAsia="宋体" w:cs="宋体"/>
          <w:color w:val="auto"/>
          <w:spacing w:val="0"/>
          <w:sz w:val="28"/>
          <w:szCs w:val="28"/>
          <w:lang w:val="en-US" w:eastAsia="zh-CN"/>
        </w:rPr>
      </w:pPr>
      <w:r>
        <w:rPr>
          <w:rFonts w:hint="eastAsia" w:ascii="宋体" w:hAnsi="宋体" w:eastAsia="宋体" w:cs="宋体"/>
          <w:b w:val="0"/>
          <w:bCs w:val="0"/>
          <w:color w:val="auto"/>
          <w:kern w:val="2"/>
          <w:sz w:val="28"/>
          <w:szCs w:val="28"/>
          <w:highlight w:val="none"/>
          <w:lang w:val="en-US" w:eastAsia="zh-CN" w:bidi="ar-SA"/>
        </w:rPr>
        <w:t>（3）雨水工程规划：</w:t>
      </w:r>
    </w:p>
    <w:p w14:paraId="45102583">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Times New Roman"/>
          <w:b w:val="0"/>
          <w:bCs w:val="0"/>
          <w:color w:val="auto"/>
          <w:spacing w:val="0"/>
          <w:sz w:val="28"/>
          <w:szCs w:val="28"/>
          <w:lang w:val="en-US" w:eastAsia="zh-CN"/>
        </w:rPr>
      </w:pPr>
      <w:r>
        <w:rPr>
          <w:rFonts w:hint="eastAsia" w:ascii="宋体" w:hAnsi="宋体" w:eastAsia="宋体" w:cs="Times New Roman"/>
          <w:b w:val="0"/>
          <w:bCs w:val="0"/>
          <w:color w:val="auto"/>
          <w:spacing w:val="0"/>
          <w:sz w:val="28"/>
          <w:szCs w:val="28"/>
        </w:rPr>
        <w:t>雨水采用有组织管道排水方式。</w:t>
      </w:r>
      <w:r>
        <w:rPr>
          <w:rFonts w:hint="eastAsia" w:ascii="宋体" w:hAnsi="宋体" w:eastAsia="宋体" w:cs="Times New Roman"/>
          <w:b w:val="0"/>
          <w:bCs w:val="0"/>
          <w:color w:val="auto"/>
          <w:spacing w:val="0"/>
          <w:sz w:val="28"/>
          <w:szCs w:val="28"/>
          <w:lang w:val="en-US" w:eastAsia="zh-CN"/>
        </w:rPr>
        <w:t>站区雨水经雨水口、雨水检查井流至站区雨水管网，通过埋地管道排至站外排水沟。</w:t>
      </w:r>
    </w:p>
    <w:p w14:paraId="5357B69C">
      <w:pPr>
        <w:pStyle w:val="2"/>
        <w:pageBreakBefore w:val="0"/>
        <w:kinsoku/>
        <w:wordWrap/>
        <w:overflowPunct w:val="0"/>
        <w:topLinePunct w:val="0"/>
        <w:bidi w:val="0"/>
        <w:snapToGrid/>
        <w:spacing w:line="360" w:lineRule="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3.3</w:t>
      </w:r>
      <w:r>
        <w:rPr>
          <w:rFonts w:hint="eastAsia" w:ascii="宋体" w:hAnsi="宋体" w:eastAsia="宋体" w:cs="宋体"/>
          <w:color w:val="auto"/>
          <w:spacing w:val="0"/>
          <w:sz w:val="28"/>
          <w:szCs w:val="28"/>
        </w:rPr>
        <w:t>电力工程规划</w:t>
      </w:r>
    </w:p>
    <w:p w14:paraId="172734FA">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bookmarkStart w:id="5" w:name="_Toc491540230"/>
      <w:bookmarkStart w:id="6" w:name="_Toc332295963"/>
      <w:bookmarkStart w:id="7" w:name="_Toc469408437"/>
      <w:bookmarkStart w:id="8" w:name="_Toc22153"/>
      <w:r>
        <w:rPr>
          <w:rFonts w:hint="eastAsia" w:ascii="宋体" w:hAnsi="宋体" w:eastAsia="宋体" w:cs="宋体"/>
          <w:b w:val="0"/>
          <w:bCs w:val="0"/>
          <w:color w:val="auto"/>
          <w:kern w:val="2"/>
          <w:sz w:val="28"/>
          <w:szCs w:val="28"/>
          <w:highlight w:val="none"/>
          <w:lang w:val="en-US" w:eastAsia="zh-CN" w:bidi="ar-SA"/>
        </w:rPr>
        <w:t>电源可引接站内</w:t>
      </w:r>
      <w:r>
        <w:rPr>
          <w:rFonts w:hint="eastAsia" w:hAnsi="宋体" w:eastAsia="宋体" w:cs="宋体"/>
          <w:b w:val="0"/>
          <w:bCs w:val="0"/>
          <w:color w:val="auto"/>
          <w:kern w:val="2"/>
          <w:sz w:val="28"/>
          <w:szCs w:val="28"/>
          <w:highlight w:val="none"/>
          <w:lang w:val="en-US" w:eastAsia="zh-CN" w:bidi="ar-SA"/>
        </w:rPr>
        <w:t>10</w:t>
      </w:r>
      <w:r>
        <w:rPr>
          <w:rFonts w:hint="eastAsia" w:ascii="宋体" w:hAnsi="宋体" w:eastAsia="宋体" w:cs="宋体"/>
          <w:b w:val="0"/>
          <w:bCs w:val="0"/>
          <w:color w:val="auto"/>
          <w:kern w:val="2"/>
          <w:sz w:val="28"/>
          <w:szCs w:val="28"/>
          <w:highlight w:val="none"/>
          <w:lang w:val="en-US" w:eastAsia="zh-CN" w:bidi="ar-SA"/>
        </w:rPr>
        <w:t>kV低压站用变压器，另外为提高站用电供电可靠性，保留施工外接电源作为站用电备用。</w:t>
      </w:r>
    </w:p>
    <w:p w14:paraId="36A8F39C">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hAnsi="宋体" w:eastAsia="宋体" w:cs="宋体"/>
          <w:b w:val="0"/>
          <w:bCs w:val="0"/>
          <w:color w:val="auto"/>
          <w:kern w:val="2"/>
          <w:sz w:val="28"/>
          <w:szCs w:val="28"/>
          <w:highlight w:val="none"/>
          <w:lang w:val="en-US" w:eastAsia="zh-CN" w:bidi="ar-SA"/>
        </w:rPr>
        <w:t>地块内</w:t>
      </w:r>
      <w:r>
        <w:rPr>
          <w:rFonts w:hint="eastAsia" w:ascii="宋体" w:hAnsi="宋体" w:eastAsia="宋体" w:cs="宋体"/>
          <w:b w:val="0"/>
          <w:bCs w:val="0"/>
          <w:color w:val="auto"/>
          <w:kern w:val="2"/>
          <w:sz w:val="28"/>
          <w:szCs w:val="28"/>
          <w:highlight w:val="none"/>
          <w:lang w:val="en-US" w:eastAsia="zh-CN" w:bidi="ar-SA"/>
        </w:rPr>
        <w:t>电力线路主要平行于道路埋地敷设，由配电箱连接</w:t>
      </w:r>
      <w:r>
        <w:rPr>
          <w:rFonts w:hint="eastAsia" w:hAnsi="宋体" w:eastAsia="宋体" w:cs="宋体"/>
          <w:b w:val="0"/>
          <w:bCs w:val="0"/>
          <w:color w:val="auto"/>
          <w:kern w:val="2"/>
          <w:sz w:val="28"/>
          <w:szCs w:val="28"/>
          <w:highlight w:val="none"/>
          <w:lang w:val="en-US" w:eastAsia="zh-CN" w:bidi="ar-SA"/>
        </w:rPr>
        <w:t>主控楼</w:t>
      </w:r>
      <w:r>
        <w:rPr>
          <w:rFonts w:hint="eastAsia" w:ascii="宋体" w:hAnsi="宋体" w:eastAsia="宋体" w:cs="宋体"/>
          <w:b w:val="0"/>
          <w:bCs w:val="0"/>
          <w:color w:val="auto"/>
          <w:kern w:val="2"/>
          <w:sz w:val="28"/>
          <w:szCs w:val="28"/>
          <w:highlight w:val="none"/>
          <w:lang w:val="en-US" w:eastAsia="zh-CN" w:bidi="ar-SA"/>
        </w:rPr>
        <w:t>等建筑</w:t>
      </w:r>
      <w:r>
        <w:rPr>
          <w:rFonts w:hint="eastAsia" w:hAnsi="宋体" w:eastAsia="宋体" w:cs="宋体"/>
          <w:b w:val="0"/>
          <w:bCs w:val="0"/>
          <w:color w:val="auto"/>
          <w:kern w:val="2"/>
          <w:sz w:val="28"/>
          <w:szCs w:val="28"/>
          <w:highlight w:val="none"/>
          <w:lang w:val="en-US" w:eastAsia="zh-CN" w:bidi="ar-SA"/>
        </w:rPr>
        <w:t>。</w:t>
      </w:r>
    </w:p>
    <w:p w14:paraId="2C0A1359">
      <w:pPr>
        <w:pStyle w:val="2"/>
        <w:pageBreakBefore w:val="0"/>
        <w:kinsoku/>
        <w:wordWrap/>
        <w:overflowPunct w:val="0"/>
        <w:topLinePunct w:val="0"/>
        <w:bidi w:val="0"/>
        <w:snapToGrid/>
        <w:spacing w:line="360" w:lineRule="auto"/>
        <w:rPr>
          <w:rFonts w:hint="eastAsia" w:ascii="宋体" w:hAnsi="宋体" w:eastAsia="宋体" w:cs="宋体"/>
          <w:color w:val="auto"/>
          <w:spacing w:val="0"/>
          <w:sz w:val="28"/>
          <w:szCs w:val="28"/>
          <w:lang w:val="en-US" w:eastAsia="zh-CN"/>
        </w:rPr>
      </w:pPr>
      <w:bookmarkStart w:id="9" w:name="_Toc22575"/>
      <w:r>
        <w:rPr>
          <w:rFonts w:hint="eastAsia" w:ascii="宋体" w:hAnsi="宋体" w:eastAsia="宋体" w:cs="宋体"/>
          <w:color w:val="auto"/>
          <w:spacing w:val="0"/>
          <w:sz w:val="28"/>
          <w:szCs w:val="28"/>
          <w:lang w:val="en-US" w:eastAsia="zh-CN"/>
        </w:rPr>
        <w:t>3.4通信工程规划</w:t>
      </w:r>
      <w:bookmarkEnd w:id="5"/>
      <w:bookmarkEnd w:id="6"/>
      <w:bookmarkEnd w:id="7"/>
      <w:bookmarkEnd w:id="8"/>
      <w:bookmarkEnd w:id="9"/>
    </w:p>
    <w:p w14:paraId="5059286A">
      <w:pPr>
        <w:keepLines w:val="0"/>
        <w:pageBreakBefore w:val="0"/>
        <w:kinsoku/>
        <w:wordWrap/>
        <w:overflowPunct w:val="0"/>
        <w:topLinePunct w:val="0"/>
        <w:bidi w:val="0"/>
        <w:snapToGrid/>
        <w:spacing w:line="360" w:lineRule="auto"/>
        <w:ind w:firstLine="560" w:firstLineChars="200"/>
        <w:rPr>
          <w:rFonts w:hint="eastAsia" w:ascii="宋体" w:hAnsi="宋体" w:eastAsia="宋体" w:cs="宋体"/>
          <w:color w:val="auto"/>
          <w:spacing w:val="0"/>
          <w:sz w:val="28"/>
          <w:szCs w:val="28"/>
          <w:lang w:val="en-US" w:eastAsia="zh-CN"/>
        </w:rPr>
      </w:pPr>
      <w:bookmarkStart w:id="10" w:name="_Toc332295965"/>
      <w:bookmarkStart w:id="11" w:name="_Toc469408439"/>
      <w:bookmarkStart w:id="12" w:name="_Toc491540231"/>
      <w:bookmarkStart w:id="13" w:name="_Toc12495"/>
      <w:bookmarkStart w:id="14" w:name="_Toc25760"/>
      <w:r>
        <w:rPr>
          <w:rFonts w:hint="eastAsia" w:ascii="宋体" w:hAnsi="宋体" w:eastAsia="宋体" w:cs="宋体"/>
          <w:color w:val="auto"/>
          <w:spacing w:val="0"/>
          <w:sz w:val="28"/>
          <w:szCs w:val="28"/>
          <w:lang w:val="en-US" w:eastAsia="zh-CN"/>
        </w:rPr>
        <w:t>地块区域通讯信号已全覆盖，能够满足规划</w:t>
      </w:r>
      <w:r>
        <w:rPr>
          <w:rFonts w:hint="eastAsia" w:ascii="宋体" w:hAnsi="宋体" w:cs="宋体"/>
          <w:color w:val="auto"/>
          <w:spacing w:val="0"/>
          <w:sz w:val="28"/>
          <w:szCs w:val="28"/>
          <w:lang w:val="en-US" w:eastAsia="zh-CN"/>
        </w:rPr>
        <w:t>地块</w:t>
      </w:r>
      <w:r>
        <w:rPr>
          <w:rFonts w:hint="eastAsia" w:ascii="宋体" w:hAnsi="宋体" w:eastAsia="宋体" w:cs="宋体"/>
          <w:color w:val="auto"/>
          <w:spacing w:val="0"/>
          <w:sz w:val="28"/>
          <w:szCs w:val="28"/>
          <w:lang w:val="en-US" w:eastAsia="zh-CN"/>
        </w:rPr>
        <w:t>对通讯设施的需求，网络通信线缆接自</w:t>
      </w:r>
      <w:r>
        <w:rPr>
          <w:rFonts w:hint="eastAsia" w:ascii="宋体" w:hAnsi="宋体" w:cs="宋体"/>
          <w:color w:val="auto"/>
          <w:spacing w:val="-4"/>
          <w:sz w:val="28"/>
          <w:szCs w:val="28"/>
          <w:lang w:val="en-US" w:eastAsia="zh-CN"/>
        </w:rPr>
        <w:t>地块东</w:t>
      </w:r>
      <w:r>
        <w:rPr>
          <w:rFonts w:hint="eastAsia" w:ascii="宋体" w:hAnsi="宋体" w:eastAsia="宋体" w:cs="宋体"/>
          <w:color w:val="auto"/>
          <w:spacing w:val="-4"/>
          <w:sz w:val="28"/>
          <w:szCs w:val="28"/>
          <w:lang w:val="en-US" w:eastAsia="zh-CN"/>
        </w:rPr>
        <w:t>侧</w:t>
      </w:r>
      <w:r>
        <w:rPr>
          <w:rFonts w:hint="eastAsia" w:ascii="宋体" w:hAnsi="宋体" w:eastAsia="宋体" w:cs="宋体"/>
          <w:color w:val="auto"/>
          <w:spacing w:val="0"/>
          <w:sz w:val="28"/>
          <w:szCs w:val="20"/>
          <w:lang w:val="en-US" w:eastAsia="zh-CN"/>
        </w:rPr>
        <w:t>梁庄西堡村</w:t>
      </w:r>
      <w:r>
        <w:rPr>
          <w:rFonts w:hint="eastAsia" w:ascii="宋体" w:hAnsi="宋体" w:eastAsia="宋体" w:cs="宋体"/>
          <w:color w:val="auto"/>
          <w:spacing w:val="0"/>
          <w:sz w:val="28"/>
          <w:szCs w:val="28"/>
          <w:lang w:val="en-US" w:eastAsia="zh-CN"/>
        </w:rPr>
        <w:t>通信</w:t>
      </w:r>
      <w:r>
        <w:rPr>
          <w:rFonts w:hint="eastAsia" w:ascii="宋体" w:hAnsi="宋体" w:cs="宋体"/>
          <w:color w:val="auto"/>
          <w:spacing w:val="0"/>
          <w:sz w:val="28"/>
          <w:szCs w:val="28"/>
          <w:lang w:val="en-US" w:eastAsia="zh-CN"/>
        </w:rPr>
        <w:t>线</w:t>
      </w:r>
      <w:r>
        <w:rPr>
          <w:rFonts w:hint="eastAsia" w:ascii="宋体" w:hAnsi="宋体" w:eastAsia="宋体" w:cs="宋体"/>
          <w:color w:val="auto"/>
          <w:spacing w:val="0"/>
          <w:sz w:val="28"/>
          <w:szCs w:val="28"/>
          <w:lang w:val="en-US" w:eastAsia="zh-CN"/>
        </w:rPr>
        <w:t>。</w:t>
      </w:r>
    </w:p>
    <w:p w14:paraId="001B6B18">
      <w:pPr>
        <w:pStyle w:val="2"/>
        <w:keepNext/>
        <w:pageBreakBefore w:val="0"/>
        <w:widowControl w:val="0"/>
        <w:kinsoku/>
        <w:wordWrap/>
        <w:overflowPunct w:val="0"/>
        <w:topLinePunct w:val="0"/>
        <w:autoSpaceDE/>
        <w:autoSpaceDN/>
        <w:bidi w:val="0"/>
        <w:adjustRightInd/>
        <w:snapToGrid/>
        <w:spacing w:line="360" w:lineRule="auto"/>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lang w:val="en-US" w:eastAsia="zh-CN"/>
        </w:rPr>
        <w:t>3.5供热工程规划</w:t>
      </w:r>
      <w:bookmarkEnd w:id="10"/>
      <w:bookmarkEnd w:id="11"/>
      <w:bookmarkEnd w:id="12"/>
      <w:bookmarkEnd w:id="13"/>
      <w:bookmarkEnd w:id="14"/>
    </w:p>
    <w:p w14:paraId="43873B80">
      <w:pPr>
        <w:pStyle w:val="2"/>
        <w:pageBreakBefore w:val="0"/>
        <w:kinsoku/>
        <w:wordWrap/>
        <w:overflowPunct w:val="0"/>
        <w:topLinePunct w:val="0"/>
        <w:bidi w:val="0"/>
        <w:snapToGrid/>
        <w:spacing w:line="360" w:lineRule="auto"/>
        <w:rPr>
          <w:rFonts w:hint="eastAsia" w:ascii="宋体" w:hAnsi="宋体" w:eastAsia="宋体" w:cs="宋体"/>
          <w:b w:val="0"/>
          <w:color w:val="auto"/>
          <w:spacing w:val="0"/>
          <w:kern w:val="2"/>
          <w:sz w:val="28"/>
          <w:szCs w:val="28"/>
          <w:lang w:val="en-US" w:eastAsia="zh-CN" w:bidi="ar-SA"/>
        </w:rPr>
      </w:pPr>
      <w:bookmarkStart w:id="15" w:name="_Toc2454"/>
      <w:r>
        <w:rPr>
          <w:rFonts w:hint="eastAsia" w:ascii="宋体" w:hAnsi="宋体" w:cs="宋体"/>
          <w:b w:val="0"/>
          <w:bCs w:val="0"/>
          <w:color w:val="auto"/>
          <w:spacing w:val="0"/>
          <w:kern w:val="2"/>
          <w:sz w:val="28"/>
          <w:szCs w:val="28"/>
          <w:lang w:val="en-US" w:eastAsia="zh-CN" w:bidi="ar-SA"/>
        </w:rPr>
        <w:t>地块内</w:t>
      </w:r>
      <w:r>
        <w:rPr>
          <w:rFonts w:hint="eastAsia" w:ascii="宋体" w:hAnsi="宋体" w:eastAsia="宋体" w:cs="宋体"/>
          <w:b w:val="0"/>
          <w:bCs w:val="0"/>
          <w:color w:val="auto"/>
          <w:spacing w:val="0"/>
          <w:kern w:val="2"/>
          <w:sz w:val="28"/>
          <w:szCs w:val="28"/>
          <w:lang w:val="en-US" w:eastAsia="zh-CN" w:bidi="ar-SA"/>
        </w:rPr>
        <w:t>需采暖的建筑物</w:t>
      </w:r>
      <w:r>
        <w:rPr>
          <w:rFonts w:hint="eastAsia" w:ascii="宋体" w:hAnsi="宋体" w:cs="宋体"/>
          <w:b w:val="0"/>
          <w:bCs w:val="0"/>
          <w:color w:val="auto"/>
          <w:spacing w:val="0"/>
          <w:kern w:val="2"/>
          <w:sz w:val="28"/>
          <w:szCs w:val="28"/>
          <w:lang w:val="en-US" w:eastAsia="zh-CN" w:bidi="ar-SA"/>
        </w:rPr>
        <w:t>可</w:t>
      </w:r>
      <w:r>
        <w:rPr>
          <w:rFonts w:hint="eastAsia" w:ascii="宋体" w:hAnsi="宋体" w:eastAsia="宋体" w:cs="宋体"/>
          <w:b w:val="0"/>
          <w:bCs w:val="0"/>
          <w:color w:val="auto"/>
          <w:spacing w:val="0"/>
          <w:kern w:val="2"/>
          <w:sz w:val="28"/>
          <w:szCs w:val="28"/>
          <w:lang w:val="en-US" w:eastAsia="zh-CN" w:bidi="ar-SA"/>
        </w:rPr>
        <w:t>设置控制灵活、维护简单的温控型电暖器</w:t>
      </w:r>
      <w:r>
        <w:rPr>
          <w:rFonts w:hint="eastAsia" w:ascii="宋体" w:hAnsi="宋体" w:cs="宋体"/>
          <w:b w:val="0"/>
          <w:bCs w:val="0"/>
          <w:color w:val="auto"/>
          <w:spacing w:val="0"/>
          <w:kern w:val="2"/>
          <w:sz w:val="28"/>
          <w:szCs w:val="28"/>
          <w:lang w:val="en-US" w:eastAsia="zh-CN" w:bidi="ar-SA"/>
        </w:rPr>
        <w:t>或</w:t>
      </w:r>
      <w:r>
        <w:rPr>
          <w:rFonts w:hint="eastAsia" w:ascii="宋体" w:hAnsi="宋体" w:eastAsia="宋体" w:cs="宋体"/>
          <w:b w:val="0"/>
          <w:bCs w:val="0"/>
          <w:color w:val="auto"/>
          <w:spacing w:val="0"/>
          <w:kern w:val="2"/>
          <w:sz w:val="28"/>
          <w:szCs w:val="28"/>
          <w:lang w:val="en-US" w:eastAsia="zh-CN" w:bidi="ar-SA"/>
        </w:rPr>
        <w:t>空调采暖</w:t>
      </w:r>
      <w:r>
        <w:rPr>
          <w:rFonts w:hint="eastAsia" w:ascii="宋体" w:hAnsi="宋体" w:eastAsia="宋体" w:cs="宋体"/>
          <w:b w:val="0"/>
          <w:color w:val="auto"/>
          <w:spacing w:val="0"/>
          <w:kern w:val="2"/>
          <w:sz w:val="28"/>
          <w:szCs w:val="28"/>
          <w:lang w:val="en-US" w:eastAsia="zh-CN" w:bidi="ar-SA"/>
        </w:rPr>
        <w:t>。</w:t>
      </w:r>
    </w:p>
    <w:p w14:paraId="1A34C0A1">
      <w:pPr>
        <w:pStyle w:val="2"/>
        <w:pageBreakBefore w:val="0"/>
        <w:kinsoku/>
        <w:wordWrap/>
        <w:overflowPunct w:val="0"/>
        <w:topLinePunct w:val="0"/>
        <w:bidi w:val="0"/>
        <w:snapToGrid/>
        <w:spacing w:line="360" w:lineRule="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3.6环卫工程规划</w:t>
      </w:r>
      <w:bookmarkEnd w:id="15"/>
    </w:p>
    <w:p w14:paraId="2AB583FD">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pacing w:val="0"/>
          <w:kern w:val="2"/>
          <w:sz w:val="28"/>
          <w:szCs w:val="28"/>
          <w:lang w:val="en-US" w:eastAsia="zh-CN" w:bidi="ar-SA"/>
        </w:rPr>
      </w:pPr>
      <w:r>
        <w:rPr>
          <w:rFonts w:hint="eastAsia" w:ascii="宋体" w:hAnsi="宋体" w:eastAsia="宋体" w:cs="宋体"/>
          <w:b w:val="0"/>
          <w:bCs w:val="0"/>
          <w:color w:val="auto"/>
          <w:spacing w:val="0"/>
          <w:kern w:val="2"/>
          <w:sz w:val="28"/>
          <w:szCs w:val="28"/>
          <w:lang w:val="en-US" w:eastAsia="zh-CN" w:bidi="ar-SA"/>
        </w:rPr>
        <w:t>1.垃圾量预测</w:t>
      </w:r>
    </w:p>
    <w:p w14:paraId="4A97C278">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pacing w:val="0"/>
          <w:kern w:val="2"/>
          <w:sz w:val="28"/>
          <w:szCs w:val="28"/>
          <w:lang w:val="en-US" w:eastAsia="zh-CN" w:bidi="ar-SA"/>
        </w:rPr>
      </w:pPr>
      <w:r>
        <w:rPr>
          <w:rFonts w:hint="eastAsia" w:ascii="宋体" w:hAnsi="宋体" w:eastAsia="宋体" w:cs="宋体"/>
          <w:b w:val="0"/>
          <w:bCs w:val="0"/>
          <w:color w:val="auto"/>
          <w:spacing w:val="0"/>
          <w:kern w:val="2"/>
          <w:sz w:val="28"/>
          <w:szCs w:val="28"/>
          <w:lang w:val="en-US" w:eastAsia="zh-CN" w:bidi="ar-SA"/>
        </w:rPr>
        <w:t>根据环境卫生保护要求及变电站实际情况，变电站按运维工作人员11人计，人均排放生活垃圾0.8kg/d计算，则生活垃圾总量为8.8kg/d。</w:t>
      </w:r>
    </w:p>
    <w:p w14:paraId="4CC7E8DB">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pacing w:val="0"/>
          <w:kern w:val="2"/>
          <w:sz w:val="28"/>
          <w:szCs w:val="28"/>
          <w:lang w:val="en-US" w:eastAsia="zh-CN" w:bidi="ar-SA"/>
        </w:rPr>
      </w:pPr>
      <w:r>
        <w:rPr>
          <w:rFonts w:hint="eastAsia" w:ascii="宋体" w:hAnsi="宋体" w:eastAsia="宋体" w:cs="宋体"/>
          <w:b w:val="0"/>
          <w:bCs w:val="0"/>
          <w:color w:val="auto"/>
          <w:spacing w:val="0"/>
          <w:kern w:val="2"/>
          <w:sz w:val="28"/>
          <w:szCs w:val="28"/>
          <w:lang w:val="en-US" w:eastAsia="zh-CN" w:bidi="ar-SA"/>
        </w:rPr>
        <w:t>2.环卫设施规划</w:t>
      </w:r>
    </w:p>
    <w:p w14:paraId="3F37E9CD">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textAlignment w:val="baseline"/>
        <w:rPr>
          <w:rFonts w:hint="eastAsia" w:ascii="宋体" w:hAnsi="宋体" w:eastAsia="宋体" w:cs="宋体"/>
          <w:b w:val="0"/>
          <w:bCs w:val="0"/>
          <w:color w:val="auto"/>
          <w:spacing w:val="0"/>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color w:val="auto"/>
          <w:spacing w:val="0"/>
          <w:kern w:val="2"/>
          <w:sz w:val="28"/>
          <w:szCs w:val="28"/>
          <w:lang w:val="en-US" w:eastAsia="zh-CN" w:bidi="ar-SA"/>
        </w:rPr>
        <w:t>本次地块规划要求最少设置1处生活垃圾收集箱。</w:t>
      </w:r>
    </w:p>
    <w:p w14:paraId="6C09DED1">
      <w:pPr>
        <w:keepNext w:val="0"/>
        <w:keepLines w:val="0"/>
        <w:pageBreakBefore w:val="0"/>
        <w:widowControl/>
        <w:numPr>
          <w:ilvl w:val="0"/>
          <w:numId w:val="2"/>
        </w:numPr>
        <w:kinsoku/>
        <w:wordWrap/>
        <w:overflowPunct w:val="0"/>
        <w:topLinePunct w:val="0"/>
        <w:autoSpaceDE w:val="0"/>
        <w:autoSpaceDN w:val="0"/>
        <w:bidi w:val="0"/>
        <w:adjustRightInd w:val="0"/>
        <w:snapToGrid/>
        <w:spacing w:line="360" w:lineRule="auto"/>
        <w:ind w:firstLine="703" w:firstLineChars="200"/>
        <w:jc w:val="center"/>
        <w:textAlignment w:val="baseline"/>
        <w:rPr>
          <w:rFonts w:hint="eastAsia" w:ascii="宋体" w:hAnsi="宋体" w:eastAsia="宋体" w:cs="宋体"/>
          <w:b/>
          <w:bCs/>
          <w:color w:val="auto"/>
          <w:spacing w:val="0"/>
          <w:kern w:val="2"/>
          <w:sz w:val="35"/>
          <w:szCs w:val="35"/>
          <w:lang w:val="en-US" w:eastAsia="zh-CN" w:bidi="ar-SA"/>
        </w:rPr>
      </w:pPr>
      <w:r>
        <w:rPr>
          <w:rFonts w:hint="eastAsia" w:ascii="宋体" w:hAnsi="宋体" w:eastAsia="宋体" w:cs="宋体"/>
          <w:b/>
          <w:bCs/>
          <w:color w:val="auto"/>
          <w:spacing w:val="0"/>
          <w:kern w:val="2"/>
          <w:sz w:val="35"/>
          <w:szCs w:val="35"/>
          <w:lang w:val="en-US" w:eastAsia="zh-CN" w:bidi="ar-SA"/>
        </w:rPr>
        <w:t>综合防灾规划</w:t>
      </w:r>
    </w:p>
    <w:p w14:paraId="35B14F9E">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527" w:leftChars="0"/>
        <w:jc w:val="both"/>
        <w:textAlignment w:val="baseline"/>
        <w:rPr>
          <w:rFonts w:hint="eastAsia" w:ascii="宋体" w:hAnsi="宋体" w:eastAsia="宋体" w:cs="宋体"/>
          <w:b/>
          <w:bCs/>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4.1消防规划</w:t>
      </w:r>
    </w:p>
    <w:p w14:paraId="0FF25B03">
      <w:pPr>
        <w:pStyle w:val="11"/>
        <w:keepNext w:val="0"/>
        <w:keepLines w:val="0"/>
        <w:pageBreakBefore w:val="0"/>
        <w:widowControl/>
        <w:numPr>
          <w:ilvl w:val="0"/>
          <w:numId w:val="0"/>
        </w:numPr>
        <w:tabs>
          <w:tab w:val="left" w:pos="1486"/>
        </w:tabs>
        <w:kinsoku/>
        <w:wordWrap/>
        <w:overflowPunct w:val="0"/>
        <w:topLinePunct w:val="0"/>
        <w:autoSpaceDE w:val="0"/>
        <w:autoSpaceDN w:val="0"/>
        <w:bidi w:val="0"/>
        <w:adjustRightInd w:val="0"/>
        <w:snapToGrid/>
        <w:spacing w:line="360" w:lineRule="auto"/>
        <w:ind w:leftChars="0" w:right="0" w:rightChars="0" w:firstLine="560" w:firstLineChars="200"/>
        <w:jc w:val="left"/>
        <w:textAlignment w:val="baseline"/>
        <w:outlineLvl w:val="9"/>
        <w:rPr>
          <w:rFonts w:hint="eastAsia" w:ascii="宋体" w:hAnsi="宋体" w:eastAsia="宋体" w:cs="宋体"/>
          <w:color w:val="auto"/>
          <w:spacing w:val="0"/>
          <w:kern w:val="2"/>
          <w:sz w:val="28"/>
          <w:szCs w:val="20"/>
          <w:lang w:val="en-US" w:eastAsia="zh-CN" w:bidi="ar-SA"/>
        </w:rPr>
      </w:pPr>
      <w:r>
        <w:rPr>
          <w:rFonts w:hint="eastAsia" w:ascii="宋体" w:hAnsi="宋体" w:eastAsia="宋体" w:cs="宋体"/>
          <w:color w:val="auto"/>
          <w:spacing w:val="0"/>
          <w:kern w:val="2"/>
          <w:sz w:val="28"/>
          <w:szCs w:val="20"/>
          <w:lang w:val="en-US" w:eastAsia="zh-CN" w:bidi="ar-SA"/>
        </w:rPr>
        <w:t>本次规划地块处于现状梁庄镇消防站责任分区。</w:t>
      </w:r>
    </w:p>
    <w:p w14:paraId="3763BAB7">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560" w:firstLineChars="200"/>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pacing w:val="0"/>
          <w:kern w:val="2"/>
          <w:sz w:val="28"/>
          <w:szCs w:val="20"/>
          <w:lang w:val="en-US" w:eastAsia="zh-CN" w:bidi="ar-SA"/>
        </w:rPr>
        <w:t>根据国家有关部门颁布的《城市消防规划建设管理规定》和《城市消防站建设标准》的要求，地块内应加强消防通道建设，保证道路宽度、限高和设置，满足消防车通行和灭火作战的基本要求。同时，地块内</w:t>
      </w:r>
      <w:r>
        <w:rPr>
          <w:rFonts w:hint="default" w:ascii="宋体" w:hAnsi="宋体" w:eastAsia="宋体" w:cs="宋体"/>
          <w:color w:val="auto"/>
          <w:sz w:val="28"/>
          <w:szCs w:val="28"/>
          <w:lang w:val="en-US" w:eastAsia="zh-CN"/>
        </w:rPr>
        <w:t>建筑物火灾危险性分类及耐火等级</w:t>
      </w:r>
      <w:r>
        <w:rPr>
          <w:rFonts w:hint="eastAsia" w:ascii="宋体" w:hAnsi="宋体" w:eastAsia="宋体" w:cs="宋体"/>
          <w:color w:val="auto"/>
          <w:sz w:val="28"/>
          <w:szCs w:val="28"/>
          <w:lang w:val="en-US" w:eastAsia="zh-CN"/>
        </w:rPr>
        <w:t>应</w:t>
      </w:r>
      <w:r>
        <w:rPr>
          <w:rFonts w:hint="default" w:ascii="宋体" w:hAnsi="宋体" w:eastAsia="宋体" w:cs="宋体"/>
          <w:color w:val="auto"/>
          <w:sz w:val="28"/>
          <w:szCs w:val="28"/>
          <w:lang w:val="en-US" w:eastAsia="zh-CN"/>
        </w:rPr>
        <w:t>严格按《火力发电厂与变电站设计防火规范》</w:t>
      </w:r>
      <w:r>
        <w:rPr>
          <w:rFonts w:hint="eastAsia" w:ascii="宋体" w:hAnsi="宋体" w:eastAsia="宋体" w:cs="宋体"/>
          <w:color w:val="auto"/>
          <w:sz w:val="28"/>
          <w:szCs w:val="28"/>
          <w:lang w:val="en-US" w:eastAsia="zh-CN"/>
        </w:rPr>
        <w:t>（GB50229-2019）</w:t>
      </w:r>
      <w:r>
        <w:rPr>
          <w:rFonts w:hint="default" w:ascii="宋体" w:hAnsi="宋体" w:eastAsia="宋体" w:cs="宋体"/>
          <w:color w:val="auto"/>
          <w:sz w:val="28"/>
          <w:szCs w:val="28"/>
          <w:lang w:val="en-US" w:eastAsia="zh-CN"/>
        </w:rPr>
        <w:t>和《建筑设计防火规范》</w:t>
      </w:r>
      <w:r>
        <w:rPr>
          <w:rFonts w:hint="eastAsia" w:ascii="宋体" w:hAnsi="宋体" w:eastAsia="宋体" w:cs="宋体"/>
          <w:color w:val="auto"/>
          <w:sz w:val="28"/>
          <w:szCs w:val="28"/>
          <w:lang w:val="en-US" w:eastAsia="zh-CN"/>
        </w:rPr>
        <w:t>（GB50016-20142018年版）</w:t>
      </w:r>
      <w:r>
        <w:rPr>
          <w:rFonts w:hint="default" w:ascii="宋体" w:hAnsi="宋体" w:eastAsia="宋体" w:cs="宋体"/>
          <w:color w:val="auto"/>
          <w:sz w:val="28"/>
          <w:szCs w:val="28"/>
          <w:lang w:val="en-US" w:eastAsia="zh-CN"/>
        </w:rPr>
        <w:t>执行。</w:t>
      </w:r>
      <w:r>
        <w:rPr>
          <w:rFonts w:hint="eastAsia" w:ascii="宋体" w:hAnsi="宋体" w:eastAsia="宋体" w:cs="宋体"/>
          <w:color w:val="auto"/>
          <w:sz w:val="28"/>
          <w:szCs w:val="28"/>
          <w:lang w:val="en-US" w:eastAsia="zh-CN"/>
        </w:rPr>
        <w:t>建构筑物内灭火器按《建筑灭火器配置设计规范》（GB50140-2005）及《电化学储能电站设计规范》（GB 51048-2014）的有关规定进行配置。</w:t>
      </w:r>
    </w:p>
    <w:p w14:paraId="7FE06B5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527" w:leftChars="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4.2抗震规划</w:t>
      </w:r>
    </w:p>
    <w:p w14:paraId="492D16F4">
      <w:pPr>
        <w:keepNext w:val="0"/>
        <w:keepLines w:val="0"/>
        <w:widowControl/>
        <w:suppressLineNumbers w:val="0"/>
        <w:ind w:firstLine="560" w:firstLineChars="200"/>
        <w:jc w:val="left"/>
        <w:rPr>
          <w:rFonts w:hint="eastAsia" w:ascii="宋体" w:hAnsi="宋体" w:eastAsia="宋体" w:cs="宋体"/>
          <w:color w:val="auto"/>
          <w:spacing w:val="0"/>
          <w:kern w:val="2"/>
          <w:sz w:val="28"/>
          <w:szCs w:val="20"/>
          <w:lang w:val="en-US" w:eastAsia="zh-CN" w:bidi="ar-SA"/>
        </w:rPr>
      </w:pPr>
      <w:r>
        <w:rPr>
          <w:rFonts w:hint="eastAsia" w:ascii="宋体" w:hAnsi="宋体" w:eastAsia="宋体" w:cs="宋体"/>
          <w:color w:val="auto"/>
          <w:spacing w:val="0"/>
          <w:kern w:val="2"/>
          <w:sz w:val="28"/>
          <w:szCs w:val="20"/>
          <w:lang w:val="en-US" w:eastAsia="zh-CN" w:bidi="ar-SA"/>
        </w:rPr>
        <w:t>根据《中国地震动峰值加速度区划图》、《中国地震特征周期值区划图》，本项目地块所在区域地震基本烈度为7度，设计基本地震加速度值为0.15g，地震动反应谱特征周期为0.40s。本项目地块地震基本烈度为7度，属于生命线工程因此地块建构筑物应该提高一度按8度进行设防。</w:t>
      </w:r>
    </w:p>
    <w:p w14:paraId="68C018D5">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left="527" w:leftChars="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4.3地质灾害</w:t>
      </w:r>
    </w:p>
    <w:p w14:paraId="2DFA8E5E">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560" w:firstLineChars="200"/>
        <w:jc w:val="both"/>
        <w:textAlignment w:val="baseline"/>
        <w:rPr>
          <w:rFonts w:hint="eastAsia" w:ascii="宋体" w:hAnsi="宋体" w:eastAsia="宋体" w:cs="宋体"/>
          <w:color w:val="auto"/>
          <w:spacing w:val="0"/>
          <w:kern w:val="2"/>
          <w:sz w:val="28"/>
          <w:szCs w:val="20"/>
          <w:lang w:val="en-US" w:eastAsia="zh-CN" w:bidi="ar-SA"/>
        </w:rPr>
      </w:pPr>
      <w:r>
        <w:rPr>
          <w:rFonts w:hint="eastAsia" w:ascii="宋体" w:hAnsi="宋体" w:eastAsia="宋体" w:cs="宋体"/>
          <w:color w:val="auto"/>
          <w:spacing w:val="0"/>
          <w:kern w:val="2"/>
          <w:sz w:val="28"/>
          <w:szCs w:val="20"/>
          <w:lang w:val="en-US" w:eastAsia="zh-CN" w:bidi="ar-SA"/>
        </w:rPr>
        <w:t>本次评估的主要建设内容为变电站用地，涉及地块1处，地貌类型均为平原区。现场调查，变电站评估区均位于坡度小于10°的平原上，周围没有高陡边坡分布，没有崩塌、滑坡地质灾害及隐患。变电站区远离山前倾斜平原区的沟谷，预测建设工程遭受沟谷泥石流地质灾害的可能性小，地质灾害危险性小。</w:t>
      </w:r>
    </w:p>
    <w:p w14:paraId="51962A2E">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562" w:firstLineChars="200"/>
        <w:jc w:val="both"/>
        <w:textAlignment w:val="baseline"/>
        <w:rPr>
          <w:rFonts w:hint="default" w:ascii="宋体" w:hAnsi="宋体" w:eastAsia="宋体" w:cs="宋体"/>
          <w:b/>
          <w:bCs/>
          <w:color w:val="auto"/>
          <w:spacing w:val="0"/>
          <w:kern w:val="2"/>
          <w:sz w:val="28"/>
          <w:szCs w:val="20"/>
          <w:lang w:val="en-US" w:eastAsia="zh-CN" w:bidi="ar-SA"/>
        </w:rPr>
      </w:pPr>
      <w:r>
        <w:rPr>
          <w:rFonts w:hint="eastAsia" w:ascii="宋体" w:hAnsi="宋体" w:eastAsia="宋体" w:cs="宋体"/>
          <w:b/>
          <w:bCs/>
          <w:color w:val="auto"/>
          <w:spacing w:val="0"/>
          <w:kern w:val="2"/>
          <w:sz w:val="28"/>
          <w:szCs w:val="20"/>
          <w:lang w:val="en-US" w:eastAsia="zh-CN" w:bidi="ar-SA"/>
        </w:rPr>
        <w:t>4.4防洪规划</w:t>
      </w:r>
    </w:p>
    <w:p w14:paraId="136883E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color w:val="auto"/>
          <w:spacing w:val="0"/>
          <w:kern w:val="2"/>
          <w:sz w:val="28"/>
          <w:szCs w:val="20"/>
          <w:lang w:val="en-US" w:eastAsia="zh-CN" w:bidi="ar-SA"/>
        </w:rPr>
      </w:pPr>
      <w:r>
        <w:rPr>
          <w:rFonts w:hint="eastAsia" w:ascii="宋体" w:hAnsi="宋体" w:eastAsia="宋体" w:cs="宋体"/>
          <w:color w:val="auto"/>
          <w:spacing w:val="0"/>
          <w:kern w:val="2"/>
          <w:sz w:val="28"/>
          <w:szCs w:val="20"/>
          <w:lang w:val="en-US" w:eastAsia="zh-CN" w:bidi="ar-SA"/>
        </w:rPr>
        <w:t>根据《防洪标准（GB50201-2014）》，</w:t>
      </w:r>
      <w:r>
        <w:rPr>
          <w:rFonts w:hint="eastAsia" w:ascii="宋体" w:hAnsi="宋体" w:cs="宋体"/>
          <w:color w:val="auto"/>
          <w:spacing w:val="0"/>
          <w:kern w:val="2"/>
          <w:sz w:val="28"/>
          <w:szCs w:val="20"/>
          <w:lang w:val="en-US" w:eastAsia="zh-CN" w:bidi="ar-SA"/>
        </w:rPr>
        <w:t>电压等级500kV变电站的防护等级为Ⅰ级；防洪标准为100年一遇，</w:t>
      </w:r>
      <w:r>
        <w:rPr>
          <w:rFonts w:hint="eastAsia" w:ascii="宋体" w:hAnsi="宋体" w:eastAsia="宋体" w:cs="宋体"/>
          <w:color w:val="auto"/>
          <w:spacing w:val="0"/>
          <w:kern w:val="2"/>
          <w:sz w:val="28"/>
          <w:szCs w:val="20"/>
          <w:lang w:val="en-US" w:eastAsia="zh-CN" w:bidi="ar-SA"/>
        </w:rPr>
        <w:t>本地块</w:t>
      </w:r>
      <w:r>
        <w:rPr>
          <w:rFonts w:hint="eastAsia" w:ascii="宋体" w:hAnsi="宋体" w:cs="宋体"/>
          <w:color w:val="auto"/>
          <w:spacing w:val="0"/>
          <w:kern w:val="2"/>
          <w:sz w:val="28"/>
          <w:szCs w:val="20"/>
          <w:lang w:val="en-US" w:eastAsia="zh-CN" w:bidi="ar-SA"/>
        </w:rPr>
        <w:t>拟建设500kV变电站，防洪标准按100年一遇设计</w:t>
      </w:r>
      <w:r>
        <w:rPr>
          <w:rFonts w:hint="eastAsia" w:ascii="宋体" w:hAnsi="宋体" w:eastAsia="宋体" w:cs="宋体"/>
          <w:color w:val="auto"/>
          <w:spacing w:val="0"/>
          <w:kern w:val="2"/>
          <w:sz w:val="28"/>
          <w:szCs w:val="20"/>
          <w:lang w:val="en-US" w:eastAsia="zh-CN" w:bidi="ar-SA"/>
        </w:rPr>
        <w:t>。</w:t>
      </w:r>
    </w:p>
    <w:p w14:paraId="01B5D3C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b/>
          <w:bCs/>
          <w:color w:val="auto"/>
          <w:spacing w:val="0"/>
          <w:sz w:val="35"/>
          <w:szCs w:val="35"/>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pacing w:val="0"/>
          <w:kern w:val="2"/>
          <w:sz w:val="28"/>
          <w:szCs w:val="20"/>
          <w:lang w:val="en-US" w:eastAsia="zh-CN" w:bidi="ar-SA"/>
        </w:rPr>
        <w:t>地块出入口标高较地块外标高高0.2米，遭遇洪水时可以为地块提供天然的缓冲区；地块排水出口与城市雨水管渠系统顺畅衔接，提高地块排涝系统的有效性，确保将水顺利排出。</w:t>
      </w:r>
    </w:p>
    <w:p w14:paraId="7C9C4F1B">
      <w:pPr>
        <w:keepNext w:val="0"/>
        <w:keepLines w:val="0"/>
        <w:pageBreakBefore w:val="0"/>
        <w:widowControl w:val="0"/>
        <w:numPr>
          <w:ilvl w:val="0"/>
          <w:numId w:val="0"/>
        </w:numPr>
        <w:kinsoku/>
        <w:wordWrap/>
        <w:overflowPunct/>
        <w:topLinePunct w:val="0"/>
        <w:autoSpaceDE/>
        <w:autoSpaceDN/>
        <w:bidi w:val="0"/>
        <w:adjustRightInd/>
        <w:snapToGrid/>
        <w:spacing w:line="20" w:lineRule="exact"/>
        <w:jc w:val="both"/>
        <w:textAlignment w:val="auto"/>
        <w:rPr>
          <w:rFonts w:hint="default" w:ascii="宋体" w:hAnsi="宋体" w:eastAsia="宋体" w:cs="宋体"/>
          <w:b/>
          <w:bCs/>
          <w:sz w:val="35"/>
          <w:szCs w:val="35"/>
          <w:lang w:val="en-US" w:eastAsia="zh-CN"/>
        </w:rPr>
      </w:pPr>
    </w:p>
    <w:p w14:paraId="1BC36334">
      <w:pPr>
        <w:keepNext w:val="0"/>
        <w:keepLines w:val="0"/>
        <w:pageBreakBefore w:val="0"/>
        <w:widowControl w:val="0"/>
        <w:numPr>
          <w:ilvl w:val="0"/>
          <w:numId w:val="0"/>
        </w:numPr>
        <w:kinsoku/>
        <w:wordWrap/>
        <w:overflowPunct/>
        <w:topLinePunct w:val="0"/>
        <w:autoSpaceDE/>
        <w:autoSpaceDN/>
        <w:bidi w:val="0"/>
        <w:adjustRightInd/>
        <w:snapToGrid/>
        <w:spacing w:line="20" w:lineRule="exact"/>
        <w:jc w:val="both"/>
        <w:textAlignment w:val="auto"/>
        <w:rPr>
          <w:rFonts w:hint="default" w:ascii="宋体" w:hAnsi="宋体" w:eastAsia="宋体" w:cs="宋体"/>
          <w:b/>
          <w:bCs/>
          <w:sz w:val="35"/>
          <w:szCs w:val="35"/>
          <w:lang w:val="en-US" w:eastAsia="zh-CN"/>
        </w:rPr>
      </w:pPr>
    </w:p>
    <w:p w14:paraId="3EB677FF">
      <w:pPr>
        <w:keepNext w:val="0"/>
        <w:keepLines w:val="0"/>
        <w:pageBreakBefore w:val="0"/>
        <w:widowControl w:val="0"/>
        <w:numPr>
          <w:ilvl w:val="0"/>
          <w:numId w:val="0"/>
        </w:numPr>
        <w:kinsoku/>
        <w:wordWrap/>
        <w:overflowPunct/>
        <w:topLinePunct w:val="0"/>
        <w:autoSpaceDE/>
        <w:autoSpaceDN/>
        <w:bidi w:val="0"/>
        <w:adjustRightInd/>
        <w:snapToGrid/>
        <w:spacing w:line="20" w:lineRule="exact"/>
        <w:jc w:val="both"/>
        <w:textAlignment w:val="auto"/>
        <w:rPr>
          <w:rFonts w:hint="default" w:ascii="宋体" w:hAnsi="宋体" w:eastAsia="宋体" w:cs="宋体"/>
          <w:b/>
          <w:bCs/>
          <w:sz w:val="35"/>
          <w:szCs w:val="35"/>
          <w:lang w:val="en-US" w:eastAsia="zh-CN"/>
        </w:rPr>
      </w:pPr>
    </w:p>
    <w:p w14:paraId="7F6E66D7">
      <w:pPr>
        <w:keepNext w:val="0"/>
        <w:keepLines w:val="0"/>
        <w:pageBreakBefore w:val="0"/>
        <w:widowControl w:val="0"/>
        <w:numPr>
          <w:ilvl w:val="0"/>
          <w:numId w:val="0"/>
        </w:numPr>
        <w:kinsoku/>
        <w:wordWrap/>
        <w:overflowPunct/>
        <w:topLinePunct w:val="0"/>
        <w:autoSpaceDE/>
        <w:autoSpaceDN/>
        <w:bidi w:val="0"/>
        <w:adjustRightInd/>
        <w:snapToGrid/>
        <w:spacing w:line="20" w:lineRule="exact"/>
        <w:jc w:val="both"/>
        <w:textAlignment w:val="auto"/>
        <w:rPr>
          <w:rFonts w:hint="default" w:ascii="宋体" w:hAnsi="宋体" w:eastAsia="宋体" w:cs="宋体"/>
          <w:b/>
          <w:bCs/>
          <w:sz w:val="35"/>
          <w:szCs w:val="35"/>
          <w:lang w:val="en-US" w:eastAsia="zh-CN"/>
        </w:rPr>
      </w:pPr>
    </w:p>
    <w:p w14:paraId="2EBA4D70">
      <w:pPr>
        <w:keepNext w:val="0"/>
        <w:keepLines w:val="0"/>
        <w:pageBreakBefore w:val="0"/>
        <w:widowControl w:val="0"/>
        <w:numPr>
          <w:ilvl w:val="0"/>
          <w:numId w:val="0"/>
        </w:numPr>
        <w:kinsoku/>
        <w:wordWrap/>
        <w:overflowPunct/>
        <w:topLinePunct w:val="0"/>
        <w:autoSpaceDE/>
        <w:autoSpaceDN/>
        <w:bidi w:val="0"/>
        <w:adjustRightInd/>
        <w:snapToGrid/>
        <w:spacing w:line="20" w:lineRule="exact"/>
        <w:jc w:val="both"/>
        <w:textAlignment w:val="auto"/>
        <w:rPr>
          <w:rFonts w:hint="default" w:ascii="宋体" w:hAnsi="宋体" w:eastAsia="宋体" w:cs="宋体"/>
          <w:b w:val="0"/>
          <w:bCs w:val="0"/>
          <w:sz w:val="35"/>
          <w:szCs w:val="35"/>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71068"/>
    <w:multiLevelType w:val="singleLevel"/>
    <w:tmpl w:val="BBA71068"/>
    <w:lvl w:ilvl="0" w:tentative="0">
      <w:start w:val="4"/>
      <w:numFmt w:val="chineseCounting"/>
      <w:lvlText w:val="%1."/>
      <w:lvlJc w:val="left"/>
      <w:pPr>
        <w:tabs>
          <w:tab w:val="left" w:pos="312"/>
        </w:tabs>
      </w:pPr>
      <w:rPr>
        <w:rFonts w:hint="eastAsia"/>
      </w:rPr>
    </w:lvl>
  </w:abstractNum>
  <w:abstractNum w:abstractNumId="1">
    <w:nsid w:val="562645B8"/>
    <w:multiLevelType w:val="singleLevel"/>
    <w:tmpl w:val="562645B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F2FA0"/>
    <w:rsid w:val="076F57B3"/>
    <w:rsid w:val="3B3A0803"/>
    <w:rsid w:val="50263AC2"/>
    <w:rsid w:val="5B5F2FA0"/>
    <w:rsid w:val="7ECC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ind w:firstLine="883" w:firstLineChars="200"/>
      <w:outlineLvl w:val="1"/>
    </w:pPr>
    <w:rPr>
      <w:rFonts w:asciiTheme="majorAscii" w:hAnsiTheme="majorAscii" w:cstheme="majorBidi"/>
      <w:b/>
      <w:bCs/>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仿宋" w:hAnsi="仿宋" w:eastAsia="仿宋" w:cs="仿宋"/>
      <w:sz w:val="28"/>
      <w:szCs w:val="28"/>
      <w:lang w:val="en-US" w:eastAsia="en-US" w:bidi="ar-SA"/>
    </w:rPr>
  </w:style>
  <w:style w:type="paragraph" w:styleId="5">
    <w:name w:val="Plain Text"/>
    <w:basedOn w:val="1"/>
    <w:qFormat/>
    <w:uiPriority w:val="0"/>
    <w:rPr>
      <w:rFonts w:ascii="宋体" w:hAnsi="Courier New"/>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iPriority w:val="0"/>
    <w:rPr>
      <w:color w:val="0000FF"/>
      <w:u w:val="singl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3653</Words>
  <Characters>4153</Characters>
  <Lines>0</Lines>
  <Paragraphs>0</Paragraphs>
  <TotalTime>10</TotalTime>
  <ScaleCrop>false</ScaleCrop>
  <LinksUpToDate>false</LinksUpToDate>
  <CharactersWithSpaces>4192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2025-10-13T12:30:00Z</dcterms:created>
  <dc:creator>中正</dc:creator>
  <cp:lastModifiedBy>卡呐</cp:lastModifiedBy>
  <dcterms:modified xsi:type="dcterms:W3CDTF">2025-10-15T09:56:27Z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2DA536B764FA4EB69C71F141FADFEFB3_13</vt:lpwstr>
  </property>
  <property fmtid="{D5CDD505-2E9C-101B-9397-08002B2CF9AE}" pid="4" name="KSOTemplateDocerSaveRecord">
    <vt:lpwstr>eyJoZGlkIjoiNTBhODRkYTA1NTdmOGExYTU0OTQxYjRiYzRjNTFkMzIiLCJ1c2VySWQiOiIxMTY1NzMzMzQ5In0=</vt:lpwstr>
  </property>
</Properties>
</file>