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CCFFFB">
      <w:pPr>
        <w:keepNext w:val="0"/>
        <w:keepLines w:val="0"/>
        <w:pageBreakBefore w:val="0"/>
        <w:widowControl/>
        <w:kinsoku w:val="0"/>
        <w:wordWrap/>
        <w:overflowPunct/>
        <w:topLinePunct w:val="0"/>
        <w:autoSpaceDE w:val="0"/>
        <w:autoSpaceDN w:val="0"/>
        <w:bidi w:val="0"/>
        <w:adjustRightInd w:val="0"/>
        <w:snapToGrid w:val="0"/>
        <w:spacing w:after="157" w:afterLines="50" w:line="240" w:lineRule="auto"/>
        <w:jc w:val="left"/>
        <w:textAlignment w:val="baseline"/>
        <w:rPr>
          <w:rStyle w:val="9"/>
          <w:rFonts w:hint="eastAsia" w:ascii="方正仿宋_GBK" w:hAnsi="方正仿宋_GBK" w:eastAsia="方正仿宋_GBK" w:cs="方正仿宋_GBK"/>
          <w:b w:val="0"/>
          <w:bCs/>
          <w:snapToGrid w:val="0"/>
          <w:color w:val="000000" w:themeColor="text1"/>
          <w:spacing w:val="0"/>
          <w:w w:val="100"/>
          <w:kern w:val="0"/>
          <w:sz w:val="32"/>
          <w:szCs w:val="32"/>
          <w:lang w:val="en-US" w:eastAsia="zh-CN"/>
          <w14:textFill>
            <w14:solidFill>
              <w14:schemeClr w14:val="tx1"/>
            </w14:solidFill>
          </w14:textFill>
        </w:rPr>
      </w:pPr>
      <w:r>
        <w:rPr>
          <w:rStyle w:val="9"/>
          <w:rFonts w:hint="eastAsia" w:ascii="仿宋_GB2312" w:hAnsi="仿宋_GB2312" w:eastAsia="仿宋_GB2312" w:cs="仿宋_GB2312"/>
          <w:b w:val="0"/>
          <w:bCs/>
          <w:color w:val="000000" w:themeColor="text1"/>
          <w:spacing w:val="0"/>
          <w:w w:val="100"/>
          <w:sz w:val="32"/>
          <w:szCs w:val="32"/>
          <w:lang w:val="en-US" w:eastAsia="zh-CN"/>
          <w14:textFill>
            <w14:solidFill>
              <w14:schemeClr w14:val="tx1"/>
            </w14:solidFill>
          </w14:textFill>
        </w:rPr>
        <w:t>附件</w:t>
      </w:r>
      <w:r>
        <w:rPr>
          <w:rFonts w:hint="eastAsia" w:ascii="国标宋体" w:hAnsi="国标宋体" w:eastAsia="国标宋体" w:cs="国标宋体"/>
          <w:snapToGrid w:val="0"/>
          <w:color w:val="000000"/>
          <w:spacing w:val="0"/>
          <w:w w:val="100"/>
          <w:kern w:val="0"/>
          <w:sz w:val="32"/>
          <w:szCs w:val="32"/>
          <w:rtl w:val="0"/>
          <w:lang w:val="en-US" w:eastAsia="zh-CN"/>
        </w:rPr>
        <w:t>2：</w:t>
      </w:r>
    </w:p>
    <w:p w14:paraId="332FE13B">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spacing w:val="0"/>
          <w:w w:val="100"/>
          <w:sz w:val="40"/>
          <w:szCs w:val="40"/>
          <w:lang w:val="en-US" w:eastAsia="zh-CN"/>
        </w:rPr>
      </w:pPr>
      <w:r>
        <w:rPr>
          <w:rFonts w:hint="eastAsia" w:ascii="方正小标宋简体" w:hAnsi="方正小标宋简体" w:eastAsia="方正小标宋简体" w:cs="方正小标宋简体"/>
          <w:spacing w:val="0"/>
          <w:w w:val="100"/>
          <w:sz w:val="40"/>
          <w:szCs w:val="40"/>
        </w:rPr>
        <w:t>202</w:t>
      </w:r>
      <w:r>
        <w:rPr>
          <w:rFonts w:hint="eastAsia" w:ascii="方正小标宋简体" w:hAnsi="方正小标宋简体" w:eastAsia="方正小标宋简体" w:cs="方正小标宋简体"/>
          <w:spacing w:val="0"/>
          <w:w w:val="100"/>
          <w:sz w:val="40"/>
          <w:szCs w:val="40"/>
          <w:lang w:val="en-US" w:eastAsia="zh-CN"/>
        </w:rPr>
        <w:t>6年广灵县以旧换新扩品—适老化活动</w:t>
      </w:r>
    </w:p>
    <w:p w14:paraId="3FA835F6">
      <w:pPr>
        <w:keepNext w:val="0"/>
        <w:keepLines w:val="0"/>
        <w:pageBreakBefore w:val="0"/>
        <w:widowControl w:val="0"/>
        <w:kinsoku/>
        <w:wordWrap/>
        <w:overflowPunct/>
        <w:topLinePunct w:val="0"/>
        <w:autoSpaceDE/>
        <w:autoSpaceDN/>
        <w:bidi w:val="0"/>
        <w:adjustRightInd/>
        <w:snapToGrid/>
        <w:spacing w:after="157" w:afterLines="50" w:line="640" w:lineRule="exact"/>
        <w:jc w:val="center"/>
        <w:textAlignment w:val="auto"/>
        <w:rPr>
          <w:rFonts w:hint="eastAsia" w:ascii="仿宋_GB2312" w:hAnsi="仿宋_GB2312" w:eastAsia="仿宋_GB2312" w:cs="仿宋_GB2312"/>
          <w:spacing w:val="0"/>
          <w:w w:val="100"/>
          <w:sz w:val="44"/>
          <w:szCs w:val="44"/>
        </w:rPr>
      </w:pPr>
      <w:r>
        <w:rPr>
          <w:rFonts w:hint="eastAsia" w:ascii="方正小标宋简体" w:hAnsi="方正小标宋简体" w:eastAsia="方正小标宋简体" w:cs="方正小标宋简体"/>
          <w:spacing w:val="0"/>
          <w:w w:val="100"/>
          <w:sz w:val="40"/>
          <w:szCs w:val="40"/>
        </w:rPr>
        <w:t>承</w:t>
      </w:r>
      <w:r>
        <w:rPr>
          <w:rFonts w:hint="eastAsia" w:ascii="方正小标宋简体" w:hAnsi="方正小标宋简体" w:eastAsia="方正小标宋简体" w:cs="方正小标宋简体"/>
          <w:spacing w:val="0"/>
          <w:w w:val="100"/>
          <w:sz w:val="40"/>
          <w:szCs w:val="40"/>
          <w:lang w:val="en-US" w:eastAsia="zh-CN"/>
        </w:rPr>
        <w:t xml:space="preserve"> </w:t>
      </w:r>
      <w:r>
        <w:rPr>
          <w:rFonts w:hint="eastAsia" w:ascii="方正小标宋简体" w:hAnsi="方正小标宋简体" w:eastAsia="方正小标宋简体" w:cs="方正小标宋简体"/>
          <w:spacing w:val="0"/>
          <w:w w:val="100"/>
          <w:sz w:val="40"/>
          <w:szCs w:val="40"/>
        </w:rPr>
        <w:t>诺</w:t>
      </w:r>
      <w:r>
        <w:rPr>
          <w:rFonts w:hint="eastAsia" w:ascii="方正小标宋简体" w:hAnsi="方正小标宋简体" w:eastAsia="方正小标宋简体" w:cs="方正小标宋简体"/>
          <w:spacing w:val="0"/>
          <w:w w:val="100"/>
          <w:sz w:val="40"/>
          <w:szCs w:val="40"/>
          <w:lang w:val="en-US" w:eastAsia="zh-CN"/>
        </w:rPr>
        <w:t xml:space="preserve"> </w:t>
      </w:r>
      <w:r>
        <w:rPr>
          <w:rFonts w:hint="eastAsia" w:ascii="方正小标宋简体" w:hAnsi="方正小标宋简体" w:eastAsia="方正小标宋简体" w:cs="方正小标宋简体"/>
          <w:spacing w:val="0"/>
          <w:w w:val="100"/>
          <w:sz w:val="40"/>
          <w:szCs w:val="40"/>
        </w:rPr>
        <w:t>函</w:t>
      </w:r>
    </w:p>
    <w:p w14:paraId="216BF217">
      <w:pPr>
        <w:keepNext w:val="0"/>
        <w:keepLines w:val="0"/>
        <w:pageBreakBefore w:val="0"/>
        <w:widowControl w:val="0"/>
        <w:kinsoku/>
        <w:wordWrap/>
        <w:overflowPunct/>
        <w:topLinePunct w:val="0"/>
        <w:bidi w:val="0"/>
        <w:adjustRightInd/>
        <w:snapToGrid/>
        <w:spacing w:line="520" w:lineRule="exact"/>
        <w:ind w:right="0" w:firstLine="600" w:firstLineChars="200"/>
        <w:textAlignment w:val="auto"/>
        <w:rPr>
          <w:rFonts w:hint="eastAsia" w:ascii="仿宋_GB2312" w:eastAsia="仿宋_GB2312"/>
          <w:spacing w:val="0"/>
          <w:w w:val="100"/>
          <w:sz w:val="30"/>
          <w:szCs w:val="30"/>
          <w:lang w:val="zh-CN"/>
        </w:rPr>
      </w:pPr>
      <w:r>
        <w:rPr>
          <w:rFonts w:hint="eastAsia" w:ascii="仿宋_GB2312" w:eastAsia="仿宋_GB2312"/>
          <w:spacing w:val="0"/>
          <w:w w:val="100"/>
          <w:sz w:val="30"/>
          <w:szCs w:val="30"/>
          <w:lang w:val="zh-CN"/>
        </w:rPr>
        <w:t>本商户自愿参加202</w:t>
      </w:r>
      <w:r>
        <w:rPr>
          <w:rFonts w:hint="eastAsia" w:ascii="仿宋_GB2312" w:eastAsia="仿宋_GB2312"/>
          <w:spacing w:val="0"/>
          <w:w w:val="100"/>
          <w:sz w:val="30"/>
          <w:szCs w:val="30"/>
          <w:lang w:val="en-US" w:eastAsia="zh-CN"/>
        </w:rPr>
        <w:t>6</w:t>
      </w:r>
      <w:r>
        <w:rPr>
          <w:rFonts w:hint="eastAsia" w:ascii="仿宋_GB2312" w:eastAsia="仿宋_GB2312"/>
          <w:spacing w:val="0"/>
          <w:w w:val="100"/>
          <w:sz w:val="30"/>
          <w:szCs w:val="30"/>
          <w:lang w:val="zh-CN"/>
        </w:rPr>
        <w:t>年</w:t>
      </w:r>
      <w:r>
        <w:rPr>
          <w:rFonts w:hint="eastAsia" w:ascii="仿宋_GB2312" w:eastAsia="仿宋_GB2312"/>
          <w:spacing w:val="0"/>
          <w:w w:val="100"/>
          <w:sz w:val="30"/>
          <w:szCs w:val="30"/>
          <w:lang w:val="en-US" w:eastAsia="zh-CN"/>
        </w:rPr>
        <w:t>广灵县</w:t>
      </w:r>
      <w:r>
        <w:rPr>
          <w:rFonts w:hint="eastAsia" w:ascii="仿宋_GB2312" w:eastAsia="仿宋_GB2312"/>
          <w:spacing w:val="0"/>
          <w:w w:val="100"/>
          <w:sz w:val="30"/>
          <w:szCs w:val="30"/>
          <w:lang w:val="zh-CN"/>
        </w:rPr>
        <w:t>以旧换新扩品—适老化活动，并承诺遵守以下活动规则：</w:t>
      </w:r>
    </w:p>
    <w:p w14:paraId="17FB101B">
      <w:pPr>
        <w:keepNext w:val="0"/>
        <w:keepLines w:val="0"/>
        <w:pageBreakBefore w:val="0"/>
        <w:widowControl w:val="0"/>
        <w:kinsoku/>
        <w:wordWrap/>
        <w:overflowPunct/>
        <w:topLinePunct w:val="0"/>
        <w:bidi w:val="0"/>
        <w:adjustRightInd/>
        <w:snapToGrid/>
        <w:spacing w:line="520" w:lineRule="exact"/>
        <w:ind w:right="0" w:firstLine="600" w:firstLineChars="200"/>
        <w:textAlignment w:val="auto"/>
        <w:rPr>
          <w:rFonts w:hint="eastAsia" w:ascii="仿宋_GB2312" w:eastAsia="仿宋_GB2312"/>
          <w:spacing w:val="0"/>
          <w:w w:val="100"/>
          <w:sz w:val="30"/>
          <w:szCs w:val="30"/>
          <w:lang w:val="en-US" w:eastAsia="zh-CN"/>
        </w:rPr>
      </w:pPr>
      <w:r>
        <w:rPr>
          <w:rFonts w:hint="eastAsia" w:ascii="仿宋_GB2312" w:eastAsia="仿宋_GB2312"/>
          <w:spacing w:val="0"/>
          <w:w w:val="100"/>
          <w:sz w:val="30"/>
          <w:szCs w:val="30"/>
        </w:rPr>
        <w:t>1</w:t>
      </w:r>
      <w:r>
        <w:rPr>
          <w:rFonts w:hint="eastAsia" w:ascii="仿宋_GB2312" w:eastAsia="仿宋_GB2312"/>
          <w:spacing w:val="0"/>
          <w:w w:val="100"/>
          <w:sz w:val="30"/>
          <w:szCs w:val="30"/>
          <w:lang w:val="en-US" w:eastAsia="zh-CN"/>
        </w:rPr>
        <w:t xml:space="preserve">.为切实落实中央关于加力支持消费品以旧换新资金使用要求，坚决杜绝“空买空卖”、黄牛套利行为，应做好行业监督，政府相关部门将对不法套利商户予以严厉打击。 </w:t>
      </w:r>
    </w:p>
    <w:p w14:paraId="4471108F">
      <w:pPr>
        <w:keepNext w:val="0"/>
        <w:keepLines w:val="0"/>
        <w:pageBreakBefore w:val="0"/>
        <w:widowControl w:val="0"/>
        <w:kinsoku/>
        <w:wordWrap/>
        <w:overflowPunct/>
        <w:topLinePunct w:val="0"/>
        <w:bidi w:val="0"/>
        <w:adjustRightInd/>
        <w:snapToGrid/>
        <w:spacing w:line="520" w:lineRule="exact"/>
        <w:ind w:right="0" w:firstLine="600" w:firstLineChars="200"/>
        <w:textAlignment w:val="auto"/>
        <w:rPr>
          <w:rFonts w:hint="default" w:ascii="仿宋_GB2312" w:eastAsia="仿宋_GB2312"/>
          <w:spacing w:val="0"/>
          <w:w w:val="100"/>
          <w:sz w:val="30"/>
          <w:szCs w:val="30"/>
          <w:lang w:val="en-US" w:eastAsia="zh-CN"/>
        </w:rPr>
      </w:pPr>
      <w:r>
        <w:rPr>
          <w:rFonts w:hint="eastAsia" w:ascii="仿宋_GB2312" w:eastAsia="仿宋_GB2312"/>
          <w:spacing w:val="0"/>
          <w:w w:val="100"/>
          <w:sz w:val="30"/>
          <w:szCs w:val="30"/>
          <w:lang w:val="en-US" w:eastAsia="zh-CN"/>
        </w:rPr>
        <w:t>承诺</w:t>
      </w:r>
      <w:r>
        <w:rPr>
          <w:rFonts w:hint="eastAsia" w:ascii="仿宋_GB2312" w:eastAsia="仿宋_GB2312"/>
          <w:spacing w:val="0"/>
          <w:w w:val="100"/>
          <w:sz w:val="30"/>
          <w:szCs w:val="30"/>
        </w:rPr>
        <w:t>全力制止“黄牛”等恶意套利行为，包括加强活动门店内的保安工作，对于疑似“黄牛”人员采取报警等措施。</w:t>
      </w:r>
    </w:p>
    <w:p w14:paraId="2E584F69">
      <w:pPr>
        <w:keepNext w:val="0"/>
        <w:keepLines w:val="0"/>
        <w:pageBreakBefore w:val="0"/>
        <w:widowControl w:val="0"/>
        <w:kinsoku/>
        <w:wordWrap/>
        <w:overflowPunct/>
        <w:topLinePunct w:val="0"/>
        <w:bidi w:val="0"/>
        <w:adjustRightInd/>
        <w:snapToGrid/>
        <w:spacing w:line="520" w:lineRule="exact"/>
        <w:ind w:right="0" w:firstLine="600" w:firstLineChars="200"/>
        <w:textAlignment w:val="auto"/>
        <w:rPr>
          <w:rFonts w:hint="default" w:ascii="仿宋_GB2312" w:eastAsia="仿宋_GB2312"/>
          <w:spacing w:val="0"/>
          <w:w w:val="100"/>
          <w:sz w:val="30"/>
          <w:szCs w:val="30"/>
          <w:lang w:val="en-US" w:eastAsia="zh-CN"/>
        </w:rPr>
      </w:pPr>
      <w:r>
        <w:rPr>
          <w:rFonts w:hint="eastAsia" w:ascii="仿宋_GB2312" w:eastAsia="仿宋_GB2312"/>
          <w:spacing w:val="0"/>
          <w:w w:val="100"/>
          <w:sz w:val="30"/>
          <w:szCs w:val="30"/>
          <w:lang w:val="en-US" w:eastAsia="zh-CN"/>
        </w:rPr>
        <w:t>2.愿意针对本次活动先行垫付活动款项，事后结算。</w:t>
      </w:r>
    </w:p>
    <w:p w14:paraId="2595A3A4">
      <w:pPr>
        <w:keepNext w:val="0"/>
        <w:keepLines w:val="0"/>
        <w:pageBreakBefore w:val="0"/>
        <w:widowControl w:val="0"/>
        <w:kinsoku/>
        <w:wordWrap/>
        <w:overflowPunct/>
        <w:topLinePunct w:val="0"/>
        <w:bidi w:val="0"/>
        <w:adjustRightInd/>
        <w:snapToGrid/>
        <w:spacing w:line="520" w:lineRule="exact"/>
        <w:ind w:right="0" w:firstLine="600" w:firstLineChars="200"/>
        <w:textAlignment w:val="auto"/>
        <w:rPr>
          <w:rFonts w:hint="eastAsia" w:ascii="仿宋_GB2312" w:eastAsia="仿宋_GB2312"/>
          <w:spacing w:val="0"/>
          <w:w w:val="100"/>
          <w:sz w:val="30"/>
          <w:szCs w:val="30"/>
          <w:lang w:val="en-US" w:eastAsia="zh-CN"/>
        </w:rPr>
      </w:pPr>
      <w:r>
        <w:rPr>
          <w:rFonts w:hint="eastAsia" w:ascii="仿宋_GB2312" w:eastAsia="仿宋_GB2312"/>
          <w:spacing w:val="0"/>
          <w:w w:val="100"/>
          <w:sz w:val="30"/>
          <w:szCs w:val="30"/>
          <w:lang w:val="en-US" w:eastAsia="zh-CN"/>
        </w:rPr>
        <w:t>3.</w:t>
      </w:r>
      <w:r>
        <w:rPr>
          <w:rFonts w:hint="eastAsia" w:ascii="仿宋_GB2312" w:eastAsia="仿宋_GB2312"/>
          <w:spacing w:val="0"/>
          <w:w w:val="100"/>
          <w:sz w:val="30"/>
          <w:szCs w:val="30"/>
        </w:rPr>
        <w:t>确保全部门店</w:t>
      </w:r>
      <w:r>
        <w:rPr>
          <w:rFonts w:hint="eastAsia" w:ascii="仿宋_GB2312" w:eastAsia="仿宋_GB2312"/>
          <w:spacing w:val="0"/>
          <w:w w:val="100"/>
          <w:sz w:val="30"/>
          <w:szCs w:val="30"/>
          <w:lang w:val="en-US" w:eastAsia="zh-CN"/>
        </w:rPr>
        <w:t>开通</w:t>
      </w:r>
      <w:r>
        <w:rPr>
          <w:rFonts w:hint="eastAsia" w:ascii="仿宋_GB2312" w:eastAsia="仿宋_GB2312"/>
          <w:spacing w:val="0"/>
          <w:w w:val="100"/>
          <w:sz w:val="30"/>
          <w:szCs w:val="30"/>
        </w:rPr>
        <w:t>银联云闪付二维码产品受理，系统版本符合要求，具备受理条件。</w:t>
      </w:r>
      <w:r>
        <w:rPr>
          <w:rFonts w:hint="eastAsia" w:ascii="仿宋_GB2312" w:eastAsia="仿宋_GB2312"/>
          <w:spacing w:val="0"/>
          <w:w w:val="100"/>
          <w:sz w:val="30"/>
          <w:szCs w:val="30"/>
          <w:lang w:val="en-US" w:eastAsia="zh-CN"/>
        </w:rPr>
        <w:t>每张票券仅可核销指定品类的一件商品并开具一张发票（发票抬头需为消费者云闪付实名姓名），不可一笔销售多件商品，不可对商品进行拆单支付。开具发票需为全额发票（含优惠金额）。上传资料需填写收货地址，所销售产品送货地址必须在山西省内。</w:t>
      </w:r>
    </w:p>
    <w:p w14:paraId="3D7123D1">
      <w:pPr>
        <w:keepNext w:val="0"/>
        <w:keepLines w:val="0"/>
        <w:pageBreakBefore w:val="0"/>
        <w:widowControl w:val="0"/>
        <w:kinsoku/>
        <w:wordWrap/>
        <w:overflowPunct/>
        <w:topLinePunct w:val="0"/>
        <w:bidi w:val="0"/>
        <w:adjustRightInd/>
        <w:snapToGrid/>
        <w:spacing w:line="520" w:lineRule="exact"/>
        <w:ind w:right="0" w:firstLine="600" w:firstLineChars="200"/>
        <w:textAlignment w:val="auto"/>
        <w:rPr>
          <w:rFonts w:hint="default" w:ascii="仿宋_GB2312" w:eastAsia="仿宋_GB2312"/>
          <w:spacing w:val="0"/>
          <w:w w:val="100"/>
          <w:sz w:val="30"/>
          <w:szCs w:val="30"/>
          <w:lang w:val="en-US" w:eastAsia="zh-CN"/>
        </w:rPr>
      </w:pPr>
      <w:r>
        <w:rPr>
          <w:rFonts w:hint="eastAsia" w:ascii="仿宋_GB2312" w:eastAsia="仿宋_GB2312"/>
          <w:spacing w:val="0"/>
          <w:w w:val="100"/>
          <w:sz w:val="30"/>
          <w:szCs w:val="30"/>
          <w:lang w:val="en-US" w:eastAsia="zh-CN"/>
        </w:rPr>
        <w:t>4.承诺本企业上传的资料真实有效，如出现资料缺失造假等情况将扣除对应补贴资金。确保所提供门店及资料上传人员信息的准确性。</w:t>
      </w:r>
      <w:r>
        <w:rPr>
          <w:rFonts w:hint="eastAsia" w:ascii="仿宋_GB2312" w:eastAsia="仿宋_GB2312"/>
          <w:spacing w:val="0"/>
          <w:w w:val="100"/>
          <w:sz w:val="30"/>
          <w:szCs w:val="30"/>
          <w:highlight w:val="none"/>
          <w:lang w:val="en-US" w:eastAsia="zh-CN"/>
        </w:rPr>
        <w:t>销售商品需保留原始单据及监控视频半年以上以备抽查。</w:t>
      </w:r>
    </w:p>
    <w:p w14:paraId="0F7BE55A">
      <w:pPr>
        <w:keepNext w:val="0"/>
        <w:keepLines w:val="0"/>
        <w:pageBreakBefore w:val="0"/>
        <w:widowControl w:val="0"/>
        <w:kinsoku/>
        <w:wordWrap/>
        <w:overflowPunct/>
        <w:topLinePunct w:val="0"/>
        <w:bidi w:val="0"/>
        <w:adjustRightInd/>
        <w:snapToGrid/>
        <w:spacing w:line="520" w:lineRule="exact"/>
        <w:ind w:right="0" w:firstLine="600" w:firstLineChars="200"/>
        <w:textAlignment w:val="auto"/>
        <w:rPr>
          <w:rFonts w:hint="eastAsia" w:ascii="仿宋_GB2312" w:eastAsia="仿宋_GB2312"/>
          <w:spacing w:val="0"/>
          <w:w w:val="100"/>
          <w:sz w:val="30"/>
          <w:szCs w:val="30"/>
          <w:highlight w:val="none"/>
          <w:lang w:val="en-US" w:eastAsia="zh-CN"/>
        </w:rPr>
      </w:pPr>
      <w:r>
        <w:rPr>
          <w:rFonts w:hint="eastAsia" w:ascii="仿宋_GB2312" w:eastAsia="仿宋_GB2312"/>
          <w:spacing w:val="0"/>
          <w:w w:val="100"/>
          <w:sz w:val="30"/>
          <w:szCs w:val="30"/>
          <w:highlight w:val="none"/>
          <w:lang w:val="en-US" w:eastAsia="zh-CN"/>
        </w:rPr>
        <w:t>5.企业如发生退货情形，需通过原支付渠道退还消费者实际支付金额（不包含补贴资金），并将退货相关的补贴资金退还财政。</w:t>
      </w:r>
    </w:p>
    <w:p w14:paraId="45171EC1">
      <w:pPr>
        <w:keepNext w:val="0"/>
        <w:keepLines w:val="0"/>
        <w:pageBreakBefore w:val="0"/>
        <w:widowControl w:val="0"/>
        <w:kinsoku/>
        <w:wordWrap/>
        <w:overflowPunct/>
        <w:topLinePunct w:val="0"/>
        <w:bidi w:val="0"/>
        <w:adjustRightInd/>
        <w:snapToGrid/>
        <w:spacing w:line="520" w:lineRule="exact"/>
        <w:ind w:right="0" w:firstLine="600" w:firstLineChars="200"/>
        <w:textAlignment w:val="auto"/>
        <w:rPr>
          <w:rFonts w:ascii="仿宋_GB2312" w:eastAsia="仿宋_GB2312"/>
          <w:spacing w:val="0"/>
          <w:w w:val="100"/>
          <w:sz w:val="30"/>
          <w:szCs w:val="30"/>
        </w:rPr>
      </w:pPr>
      <w:r>
        <w:rPr>
          <w:rFonts w:hint="eastAsia" w:ascii="仿宋_GB2312" w:eastAsia="仿宋_GB2312"/>
          <w:spacing w:val="0"/>
          <w:w w:val="100"/>
          <w:sz w:val="30"/>
          <w:szCs w:val="30"/>
          <w:lang w:val="en-US" w:eastAsia="zh-CN"/>
        </w:rPr>
        <w:t>6.本企业所销售的全部参与本活动的智能家居类商品有能效等级要求的均为一级能效或水效，且均需留存S/N信息和一级能效或水效等级信息及图片用于资料上传。</w:t>
      </w:r>
      <w:r>
        <w:rPr>
          <w:rFonts w:hint="eastAsia" w:ascii="仿宋_GB2312" w:eastAsia="仿宋_GB2312"/>
          <w:spacing w:val="0"/>
          <w:w w:val="100"/>
          <w:sz w:val="30"/>
          <w:szCs w:val="30"/>
        </w:rPr>
        <w:t>在活动期间，做好对</w:t>
      </w:r>
      <w:r>
        <w:rPr>
          <w:rFonts w:hint="eastAsia" w:ascii="仿宋_GB2312" w:eastAsia="仿宋_GB2312"/>
          <w:spacing w:val="0"/>
          <w:w w:val="100"/>
          <w:sz w:val="30"/>
          <w:szCs w:val="30"/>
          <w:lang w:val="en-US" w:eastAsia="zh-CN"/>
        </w:rPr>
        <w:t>本次以旧换新</w:t>
      </w:r>
      <w:r>
        <w:rPr>
          <w:rFonts w:hint="eastAsia" w:ascii="仿宋_GB2312" w:eastAsia="仿宋_GB2312"/>
          <w:spacing w:val="0"/>
          <w:w w:val="100"/>
          <w:sz w:val="30"/>
          <w:szCs w:val="30"/>
          <w:lang w:val="zh-CN"/>
        </w:rPr>
        <w:t>活动</w:t>
      </w:r>
      <w:r>
        <w:rPr>
          <w:rFonts w:hint="eastAsia" w:ascii="仿宋_GB2312" w:eastAsia="仿宋_GB2312"/>
          <w:spacing w:val="0"/>
          <w:w w:val="100"/>
          <w:sz w:val="30"/>
          <w:szCs w:val="30"/>
        </w:rPr>
        <w:t>用户的服务和受理工作，不降低服务水平和质量。对</w:t>
      </w:r>
      <w:r>
        <w:rPr>
          <w:rFonts w:hint="eastAsia" w:ascii="仿宋_GB2312" w:eastAsia="仿宋_GB2312"/>
          <w:spacing w:val="0"/>
          <w:w w:val="100"/>
          <w:sz w:val="30"/>
          <w:szCs w:val="30"/>
          <w:lang w:val="en-US" w:eastAsia="zh-CN"/>
        </w:rPr>
        <w:t>本次以旧换新</w:t>
      </w:r>
      <w:r>
        <w:rPr>
          <w:rFonts w:hint="eastAsia" w:ascii="仿宋_GB2312" w:eastAsia="仿宋_GB2312"/>
          <w:spacing w:val="0"/>
          <w:w w:val="100"/>
          <w:sz w:val="30"/>
          <w:szCs w:val="30"/>
          <w:lang w:val="zh-CN"/>
        </w:rPr>
        <w:t>活动</w:t>
      </w:r>
      <w:r>
        <w:rPr>
          <w:rFonts w:hint="eastAsia" w:ascii="仿宋_GB2312" w:eastAsia="仿宋_GB2312"/>
          <w:spacing w:val="0"/>
          <w:w w:val="100"/>
          <w:sz w:val="30"/>
          <w:szCs w:val="30"/>
        </w:rPr>
        <w:t>客户不拒绝受理。诚信经营，不采用先涨价后折扣等手段欺骗消费者。</w:t>
      </w:r>
    </w:p>
    <w:p w14:paraId="101EB80B">
      <w:pPr>
        <w:keepNext w:val="0"/>
        <w:keepLines w:val="0"/>
        <w:pageBreakBefore w:val="0"/>
        <w:widowControl w:val="0"/>
        <w:kinsoku/>
        <w:wordWrap/>
        <w:overflowPunct/>
        <w:topLinePunct w:val="0"/>
        <w:bidi w:val="0"/>
        <w:adjustRightInd/>
        <w:snapToGrid/>
        <w:spacing w:line="520" w:lineRule="exact"/>
        <w:ind w:right="0" w:firstLine="600" w:firstLineChars="200"/>
        <w:textAlignment w:val="auto"/>
        <w:rPr>
          <w:rFonts w:hint="eastAsia" w:ascii="仿宋_GB2312" w:hAnsi="仿宋_GB2312" w:eastAsia="仿宋_GB2312" w:cs="仿宋_GB2312"/>
          <w:spacing w:val="0"/>
          <w:w w:val="100"/>
          <w:sz w:val="30"/>
          <w:szCs w:val="30"/>
          <w:highlight w:val="none"/>
          <w:lang w:val="en-US" w:eastAsia="zh-CN"/>
        </w:rPr>
      </w:pPr>
      <w:r>
        <w:rPr>
          <w:rFonts w:hint="eastAsia" w:ascii="仿宋_GB2312" w:eastAsia="仿宋_GB2312"/>
          <w:spacing w:val="0"/>
          <w:w w:val="100"/>
          <w:sz w:val="30"/>
          <w:szCs w:val="30"/>
          <w:lang w:val="en-US" w:eastAsia="zh-CN"/>
        </w:rPr>
        <w:t>7.</w:t>
      </w:r>
      <w:r>
        <w:rPr>
          <w:rFonts w:hint="eastAsia" w:ascii="仿宋_GB2312" w:eastAsia="仿宋_GB2312"/>
          <w:spacing w:val="0"/>
          <w:w w:val="100"/>
          <w:sz w:val="30"/>
          <w:szCs w:val="30"/>
        </w:rPr>
        <w:t>承诺提供的商品或服务内容符合国家法律法规，</w:t>
      </w:r>
      <w:r>
        <w:rPr>
          <w:rFonts w:hint="eastAsia" w:ascii="仿宋_GB2312" w:eastAsia="仿宋_GB2312"/>
          <w:spacing w:val="0"/>
          <w:w w:val="100"/>
          <w:sz w:val="30"/>
          <w:szCs w:val="30"/>
          <w:lang w:val="en-US" w:eastAsia="zh-CN"/>
        </w:rPr>
        <w:t>所售商品均具有统一的国标13位商品编码，均在3类适老化产品：</w:t>
      </w:r>
      <w:r>
        <w:rPr>
          <w:rFonts w:hint="eastAsia" w:ascii="仿宋_GB2312" w:hAnsi="仿宋_GB2312" w:eastAsia="仿宋_GB2312" w:cs="仿宋_GB2312"/>
          <w:b w:val="0"/>
          <w:bCs w:val="0"/>
          <w:spacing w:val="0"/>
          <w:w w:val="100"/>
          <w:sz w:val="30"/>
          <w:szCs w:val="30"/>
          <w:lang w:val="en-US" w:eastAsia="zh-CN"/>
        </w:rPr>
        <w:t>智能监测雷达（包含跌倒、坠床、生命体征监测）、智能电动轮椅、助听器</w:t>
      </w:r>
      <w:r>
        <w:rPr>
          <w:rFonts w:hint="eastAsia" w:ascii="仿宋_GB2312" w:eastAsia="仿宋_GB2312"/>
          <w:spacing w:val="0"/>
          <w:w w:val="100"/>
          <w:sz w:val="30"/>
          <w:szCs w:val="30"/>
          <w:lang w:val="en-US" w:eastAsia="zh-CN"/>
        </w:rPr>
        <w:t>类别内。</w:t>
      </w:r>
      <w:r>
        <w:rPr>
          <w:rFonts w:hint="eastAsia" w:ascii="仿宋_GB2312" w:eastAsia="仿宋_GB2312"/>
          <w:spacing w:val="0"/>
          <w:w w:val="100"/>
          <w:sz w:val="30"/>
          <w:szCs w:val="30"/>
        </w:rPr>
        <w:t>对提供商品、服务的品质负有相应责任。</w:t>
      </w:r>
    </w:p>
    <w:p w14:paraId="14BF1E65">
      <w:pPr>
        <w:keepNext w:val="0"/>
        <w:keepLines w:val="0"/>
        <w:pageBreakBefore w:val="0"/>
        <w:widowControl w:val="0"/>
        <w:kinsoku/>
        <w:wordWrap/>
        <w:overflowPunct/>
        <w:topLinePunct w:val="0"/>
        <w:bidi w:val="0"/>
        <w:adjustRightInd/>
        <w:snapToGrid/>
        <w:spacing w:line="520" w:lineRule="exact"/>
        <w:ind w:right="0" w:firstLine="600" w:firstLineChars="200"/>
        <w:textAlignment w:val="auto"/>
        <w:rPr>
          <w:rFonts w:hint="eastAsia"/>
          <w:spacing w:val="0"/>
          <w:w w:val="100"/>
          <w:sz w:val="30"/>
          <w:szCs w:val="30"/>
          <w:lang w:val="en-US" w:eastAsia="zh-CN"/>
        </w:rPr>
      </w:pPr>
      <w:r>
        <w:rPr>
          <w:rFonts w:hint="eastAsia" w:ascii="仿宋_GB2312" w:eastAsia="仿宋_GB2312"/>
          <w:spacing w:val="0"/>
          <w:w w:val="100"/>
          <w:sz w:val="30"/>
          <w:szCs w:val="30"/>
          <w:lang w:val="en-US" w:eastAsia="zh-CN"/>
        </w:rPr>
        <w:t>8.承诺所售卖参与活动的商品送货地址均为山西省内。</w:t>
      </w:r>
    </w:p>
    <w:p w14:paraId="21E0E0F0">
      <w:pPr>
        <w:keepNext w:val="0"/>
        <w:keepLines w:val="0"/>
        <w:pageBreakBefore w:val="0"/>
        <w:widowControl w:val="0"/>
        <w:kinsoku/>
        <w:wordWrap/>
        <w:overflowPunct/>
        <w:topLinePunct w:val="0"/>
        <w:bidi w:val="0"/>
        <w:adjustRightInd/>
        <w:snapToGrid/>
        <w:spacing w:line="520" w:lineRule="exact"/>
        <w:ind w:right="0" w:firstLine="600" w:firstLineChars="200"/>
        <w:textAlignment w:val="auto"/>
        <w:rPr>
          <w:rFonts w:ascii="仿宋_GB2312" w:eastAsia="仿宋_GB2312"/>
          <w:spacing w:val="0"/>
          <w:w w:val="100"/>
          <w:sz w:val="30"/>
          <w:szCs w:val="30"/>
        </w:rPr>
      </w:pPr>
      <w:r>
        <w:rPr>
          <w:rFonts w:hint="eastAsia" w:ascii="仿宋_GB2312" w:eastAsia="仿宋_GB2312"/>
          <w:spacing w:val="0"/>
          <w:w w:val="100"/>
          <w:sz w:val="30"/>
          <w:szCs w:val="30"/>
          <w:lang w:val="en-US" w:eastAsia="zh-CN"/>
        </w:rPr>
        <w:t>9.</w:t>
      </w:r>
      <w:r>
        <w:rPr>
          <w:rFonts w:hint="eastAsia" w:ascii="仿宋_GB2312" w:eastAsia="仿宋_GB2312"/>
          <w:spacing w:val="0"/>
          <w:w w:val="100"/>
          <w:sz w:val="30"/>
          <w:szCs w:val="30"/>
        </w:rPr>
        <w:t>指定专人负责处理包括但不限于日常沟通、投诉及宣传推广等合作中涉及的各项事宜。</w:t>
      </w:r>
    </w:p>
    <w:p w14:paraId="4BB99DC2">
      <w:pPr>
        <w:keepNext w:val="0"/>
        <w:keepLines w:val="0"/>
        <w:pageBreakBefore w:val="0"/>
        <w:widowControl w:val="0"/>
        <w:kinsoku/>
        <w:wordWrap/>
        <w:overflowPunct/>
        <w:topLinePunct w:val="0"/>
        <w:bidi w:val="0"/>
        <w:adjustRightInd/>
        <w:snapToGrid/>
        <w:spacing w:line="520" w:lineRule="exact"/>
        <w:ind w:right="0" w:firstLine="600" w:firstLineChars="200"/>
        <w:textAlignment w:val="auto"/>
        <w:rPr>
          <w:rFonts w:ascii="仿宋_GB2312" w:eastAsia="仿宋_GB2312"/>
          <w:spacing w:val="0"/>
          <w:w w:val="100"/>
          <w:sz w:val="30"/>
          <w:szCs w:val="30"/>
        </w:rPr>
      </w:pPr>
      <w:r>
        <w:rPr>
          <w:rFonts w:hint="eastAsia" w:ascii="仿宋_GB2312" w:eastAsia="仿宋_GB2312"/>
          <w:spacing w:val="0"/>
          <w:w w:val="100"/>
          <w:sz w:val="30"/>
          <w:szCs w:val="30"/>
        </w:rPr>
        <w:t>商户（品牌）名称：</w:t>
      </w:r>
      <w:r>
        <w:rPr>
          <w:rFonts w:hint="eastAsia" w:ascii="仿宋_GB2312" w:eastAsia="仿宋_GB2312"/>
          <w:spacing w:val="0"/>
          <w:w w:val="100"/>
          <w:sz w:val="30"/>
          <w:szCs w:val="30"/>
          <w:u w:val="single"/>
        </w:rPr>
        <w:t xml:space="preserve">              </w:t>
      </w:r>
    </w:p>
    <w:p w14:paraId="4E2E9B4F">
      <w:pPr>
        <w:keepNext w:val="0"/>
        <w:keepLines w:val="0"/>
        <w:pageBreakBefore w:val="0"/>
        <w:widowControl w:val="0"/>
        <w:kinsoku/>
        <w:wordWrap/>
        <w:overflowPunct/>
        <w:topLinePunct w:val="0"/>
        <w:bidi w:val="0"/>
        <w:adjustRightInd/>
        <w:snapToGrid/>
        <w:spacing w:line="520" w:lineRule="exact"/>
        <w:ind w:right="0" w:firstLine="600" w:firstLineChars="200"/>
        <w:textAlignment w:val="auto"/>
        <w:rPr>
          <w:rFonts w:ascii="仿宋_GB2312" w:eastAsia="仿宋_GB2312"/>
          <w:spacing w:val="0"/>
          <w:w w:val="100"/>
          <w:sz w:val="30"/>
          <w:szCs w:val="30"/>
          <w:u w:val="single"/>
        </w:rPr>
      </w:pPr>
      <w:r>
        <w:rPr>
          <w:rFonts w:hint="eastAsia" w:ascii="仿宋_GB2312" w:eastAsia="仿宋_GB2312"/>
          <w:spacing w:val="0"/>
          <w:w w:val="100"/>
          <w:sz w:val="30"/>
          <w:szCs w:val="30"/>
        </w:rPr>
        <w:t>部门/职务：</w:t>
      </w:r>
      <w:r>
        <w:rPr>
          <w:rFonts w:hint="eastAsia" w:ascii="仿宋_GB2312" w:eastAsia="仿宋_GB2312"/>
          <w:spacing w:val="0"/>
          <w:w w:val="100"/>
          <w:sz w:val="30"/>
          <w:szCs w:val="30"/>
          <w:u w:val="single"/>
        </w:rPr>
        <w:t xml:space="preserve">          </w:t>
      </w:r>
      <w:r>
        <w:rPr>
          <w:rFonts w:hint="eastAsia" w:ascii="仿宋_GB2312" w:eastAsia="仿宋_GB2312"/>
          <w:spacing w:val="0"/>
          <w:w w:val="100"/>
          <w:sz w:val="30"/>
          <w:szCs w:val="30"/>
          <w:u w:val="single"/>
          <w:lang w:val="en-US" w:eastAsia="zh-CN"/>
        </w:rPr>
        <w:t xml:space="preserve"> </w:t>
      </w:r>
      <w:r>
        <w:rPr>
          <w:rFonts w:hint="eastAsia" w:ascii="仿宋_GB2312" w:eastAsia="仿宋_GB2312"/>
          <w:spacing w:val="0"/>
          <w:w w:val="100"/>
          <w:sz w:val="30"/>
          <w:szCs w:val="30"/>
          <w:u w:val="single"/>
        </w:rPr>
        <w:t xml:space="preserve">          </w:t>
      </w:r>
    </w:p>
    <w:p w14:paraId="497B1452">
      <w:pPr>
        <w:keepNext w:val="0"/>
        <w:keepLines w:val="0"/>
        <w:pageBreakBefore w:val="0"/>
        <w:widowControl w:val="0"/>
        <w:kinsoku/>
        <w:wordWrap/>
        <w:overflowPunct/>
        <w:topLinePunct w:val="0"/>
        <w:bidi w:val="0"/>
        <w:adjustRightInd/>
        <w:snapToGrid/>
        <w:spacing w:line="520" w:lineRule="exact"/>
        <w:ind w:right="0" w:firstLine="600" w:firstLineChars="200"/>
        <w:textAlignment w:val="auto"/>
        <w:rPr>
          <w:rFonts w:ascii="仿宋_GB2312" w:eastAsia="仿宋_GB2312"/>
          <w:spacing w:val="0"/>
          <w:w w:val="100"/>
          <w:sz w:val="30"/>
          <w:szCs w:val="30"/>
          <w:u w:val="single"/>
        </w:rPr>
      </w:pPr>
      <w:r>
        <w:rPr>
          <w:rFonts w:hint="eastAsia" w:ascii="仿宋_GB2312" w:eastAsia="仿宋_GB2312"/>
          <w:spacing w:val="0"/>
          <w:w w:val="100"/>
          <w:sz w:val="30"/>
          <w:szCs w:val="30"/>
        </w:rPr>
        <w:t>联 系 人：</w:t>
      </w:r>
      <w:r>
        <w:rPr>
          <w:rFonts w:hint="eastAsia" w:ascii="仿宋_GB2312" w:eastAsia="仿宋_GB2312"/>
          <w:spacing w:val="0"/>
          <w:w w:val="100"/>
          <w:sz w:val="30"/>
          <w:szCs w:val="30"/>
          <w:u w:val="single"/>
        </w:rPr>
        <w:t xml:space="preserve">                      </w:t>
      </w:r>
    </w:p>
    <w:p w14:paraId="3147E828">
      <w:pPr>
        <w:keepNext w:val="0"/>
        <w:keepLines w:val="0"/>
        <w:pageBreakBefore w:val="0"/>
        <w:widowControl w:val="0"/>
        <w:kinsoku/>
        <w:wordWrap/>
        <w:overflowPunct/>
        <w:topLinePunct w:val="0"/>
        <w:bidi w:val="0"/>
        <w:adjustRightInd/>
        <w:snapToGrid/>
        <w:spacing w:line="520" w:lineRule="exact"/>
        <w:ind w:right="0" w:firstLine="600" w:firstLineChars="200"/>
        <w:textAlignment w:val="auto"/>
        <w:rPr>
          <w:rFonts w:ascii="仿宋_GB2312" w:eastAsia="仿宋_GB2312"/>
          <w:spacing w:val="0"/>
          <w:w w:val="100"/>
          <w:sz w:val="30"/>
          <w:szCs w:val="30"/>
          <w:u w:val="single"/>
        </w:rPr>
      </w:pPr>
      <w:r>
        <w:rPr>
          <w:rFonts w:hint="eastAsia" w:ascii="仿宋_GB2312" w:eastAsia="仿宋_GB2312"/>
          <w:spacing w:val="0"/>
          <w:w w:val="100"/>
          <w:sz w:val="30"/>
          <w:szCs w:val="30"/>
        </w:rPr>
        <w:t>联系电话：</w:t>
      </w:r>
      <w:r>
        <w:rPr>
          <w:rFonts w:hint="eastAsia" w:ascii="仿宋_GB2312" w:eastAsia="仿宋_GB2312"/>
          <w:spacing w:val="0"/>
          <w:w w:val="100"/>
          <w:sz w:val="30"/>
          <w:szCs w:val="30"/>
          <w:u w:val="single"/>
        </w:rPr>
        <w:t xml:space="preserve">                      </w:t>
      </w:r>
    </w:p>
    <w:p w14:paraId="1F4C013E">
      <w:pPr>
        <w:keepNext w:val="0"/>
        <w:keepLines w:val="0"/>
        <w:pageBreakBefore w:val="0"/>
        <w:widowControl w:val="0"/>
        <w:kinsoku/>
        <w:wordWrap/>
        <w:overflowPunct/>
        <w:topLinePunct w:val="0"/>
        <w:bidi w:val="0"/>
        <w:adjustRightInd/>
        <w:snapToGrid/>
        <w:spacing w:line="520" w:lineRule="exact"/>
        <w:ind w:right="0" w:firstLine="600" w:firstLineChars="200"/>
        <w:textAlignment w:val="auto"/>
        <w:rPr>
          <w:rFonts w:hint="eastAsia" w:ascii="仿宋_GB2312" w:eastAsia="仿宋_GB2312"/>
          <w:spacing w:val="0"/>
          <w:w w:val="100"/>
          <w:sz w:val="30"/>
          <w:szCs w:val="30"/>
          <w:lang w:eastAsia="zh-CN"/>
        </w:rPr>
      </w:pPr>
      <w:r>
        <w:rPr>
          <w:rFonts w:hint="eastAsia" w:ascii="仿宋_GB2312" w:eastAsia="仿宋_GB2312"/>
          <w:spacing w:val="0"/>
          <w:w w:val="100"/>
          <w:sz w:val="30"/>
          <w:szCs w:val="30"/>
          <w:lang w:val="en-US" w:eastAsia="zh-CN"/>
        </w:rPr>
        <w:t>10.</w:t>
      </w:r>
      <w:r>
        <w:rPr>
          <w:rFonts w:hint="eastAsia" w:ascii="仿宋_GB2312" w:eastAsia="仿宋_GB2312"/>
          <w:spacing w:val="0"/>
          <w:w w:val="100"/>
          <w:sz w:val="30"/>
          <w:szCs w:val="30"/>
        </w:rPr>
        <w:t>投诉处理</w:t>
      </w:r>
      <w:r>
        <w:rPr>
          <w:rFonts w:hint="eastAsia" w:ascii="仿宋_GB2312" w:eastAsia="仿宋_GB2312"/>
          <w:spacing w:val="0"/>
          <w:w w:val="100"/>
          <w:sz w:val="30"/>
          <w:szCs w:val="30"/>
          <w:lang w:eastAsia="zh-CN"/>
        </w:rPr>
        <w:t>。</w:t>
      </w:r>
    </w:p>
    <w:p w14:paraId="4275B517">
      <w:pPr>
        <w:keepNext w:val="0"/>
        <w:keepLines w:val="0"/>
        <w:pageBreakBefore w:val="0"/>
        <w:widowControl w:val="0"/>
        <w:kinsoku/>
        <w:wordWrap/>
        <w:overflowPunct/>
        <w:topLinePunct w:val="0"/>
        <w:bidi w:val="0"/>
        <w:adjustRightInd/>
        <w:snapToGrid/>
        <w:spacing w:line="520" w:lineRule="exact"/>
        <w:ind w:right="0" w:firstLine="600" w:firstLineChars="200"/>
        <w:textAlignment w:val="auto"/>
        <w:rPr>
          <w:rFonts w:ascii="仿宋_GB2312" w:eastAsia="仿宋_GB2312"/>
          <w:spacing w:val="0"/>
          <w:w w:val="100"/>
          <w:sz w:val="30"/>
          <w:szCs w:val="30"/>
        </w:rPr>
      </w:pPr>
      <w:r>
        <w:rPr>
          <w:rFonts w:hint="eastAsia" w:ascii="仿宋_GB2312" w:eastAsia="仿宋_GB2312"/>
          <w:spacing w:val="0"/>
          <w:w w:val="100"/>
          <w:sz w:val="30"/>
          <w:szCs w:val="30"/>
        </w:rPr>
        <w:t>（1）因本商户提供的服务及产品问题或商户活动门店未根据要求执行活动而引发的</w:t>
      </w:r>
      <w:r>
        <w:rPr>
          <w:rFonts w:hint="eastAsia" w:ascii="仿宋_GB2312" w:eastAsia="仿宋_GB2312"/>
          <w:spacing w:val="0"/>
          <w:w w:val="100"/>
          <w:sz w:val="30"/>
          <w:szCs w:val="30"/>
          <w:lang w:val="en-US" w:eastAsia="zh-CN"/>
        </w:rPr>
        <w:t>消费者</w:t>
      </w:r>
      <w:r>
        <w:rPr>
          <w:rFonts w:hint="eastAsia" w:ascii="仿宋_GB2312" w:eastAsia="仿宋_GB2312"/>
          <w:spacing w:val="0"/>
          <w:w w:val="100"/>
          <w:sz w:val="30"/>
          <w:szCs w:val="30"/>
        </w:rPr>
        <w:t>投诉、处理和争议等，由本商户负责解决，妥善安抚</w:t>
      </w:r>
      <w:r>
        <w:rPr>
          <w:rFonts w:hint="eastAsia" w:ascii="仿宋_GB2312" w:eastAsia="仿宋_GB2312"/>
          <w:spacing w:val="0"/>
          <w:w w:val="100"/>
          <w:sz w:val="30"/>
          <w:szCs w:val="30"/>
          <w:lang w:val="en-US" w:eastAsia="zh-CN"/>
        </w:rPr>
        <w:t>消费者</w:t>
      </w:r>
      <w:r>
        <w:rPr>
          <w:rFonts w:hint="eastAsia" w:ascii="仿宋_GB2312" w:eastAsia="仿宋_GB2312"/>
          <w:spacing w:val="0"/>
          <w:w w:val="100"/>
          <w:sz w:val="30"/>
          <w:szCs w:val="30"/>
        </w:rPr>
        <w:t>并依法赔偿</w:t>
      </w:r>
      <w:r>
        <w:rPr>
          <w:rFonts w:hint="eastAsia" w:ascii="仿宋_GB2312" w:eastAsia="仿宋_GB2312"/>
          <w:spacing w:val="0"/>
          <w:w w:val="100"/>
          <w:sz w:val="30"/>
          <w:szCs w:val="30"/>
          <w:lang w:val="en-US" w:eastAsia="zh-CN"/>
        </w:rPr>
        <w:t>消费者</w:t>
      </w:r>
      <w:r>
        <w:rPr>
          <w:rFonts w:hint="eastAsia" w:ascii="仿宋_GB2312" w:eastAsia="仿宋_GB2312"/>
          <w:spacing w:val="0"/>
          <w:w w:val="100"/>
          <w:sz w:val="30"/>
          <w:szCs w:val="30"/>
        </w:rPr>
        <w:t>由此造成的相关损失。</w:t>
      </w:r>
    </w:p>
    <w:p w14:paraId="766966E8">
      <w:pPr>
        <w:keepNext w:val="0"/>
        <w:keepLines w:val="0"/>
        <w:pageBreakBefore w:val="0"/>
        <w:widowControl w:val="0"/>
        <w:kinsoku/>
        <w:wordWrap/>
        <w:overflowPunct/>
        <w:topLinePunct w:val="0"/>
        <w:bidi w:val="0"/>
        <w:adjustRightInd/>
        <w:snapToGrid/>
        <w:spacing w:line="520" w:lineRule="exact"/>
        <w:ind w:right="0" w:firstLine="600" w:firstLineChars="200"/>
        <w:textAlignment w:val="auto"/>
        <w:rPr>
          <w:rFonts w:ascii="仿宋_GB2312" w:eastAsia="仿宋_GB2312"/>
          <w:spacing w:val="0"/>
          <w:w w:val="100"/>
          <w:sz w:val="30"/>
          <w:szCs w:val="30"/>
        </w:rPr>
      </w:pPr>
      <w:r>
        <w:rPr>
          <w:rFonts w:hint="eastAsia" w:ascii="仿宋_GB2312" w:eastAsia="仿宋_GB2312"/>
          <w:spacing w:val="0"/>
          <w:w w:val="100"/>
          <w:sz w:val="30"/>
          <w:szCs w:val="30"/>
        </w:rPr>
        <w:t>（2）其他客户投诉及纠纷事宜，将第一时间积极主动地配合银联处理各项投诉；发生媒体投诉时，及时联络银联人员，双方达成统一通稿或口径后，由双方确认的媒体事件处理负责人及方式回应媒体，避免不良影响扩大化。</w:t>
      </w:r>
    </w:p>
    <w:p w14:paraId="4DE75040">
      <w:pPr>
        <w:keepNext w:val="0"/>
        <w:keepLines w:val="0"/>
        <w:pageBreakBefore w:val="0"/>
        <w:widowControl w:val="0"/>
        <w:kinsoku/>
        <w:wordWrap/>
        <w:overflowPunct/>
        <w:topLinePunct w:val="0"/>
        <w:autoSpaceDE w:val="0"/>
        <w:autoSpaceDN w:val="0"/>
        <w:bidi w:val="0"/>
        <w:adjustRightInd/>
        <w:snapToGrid/>
        <w:spacing w:after="157" w:afterLines="50" w:line="520" w:lineRule="exact"/>
        <w:ind w:right="0" w:firstLine="600" w:firstLineChars="200"/>
        <w:textAlignment w:val="auto"/>
        <w:rPr>
          <w:rFonts w:hint="eastAsia" w:ascii="仿宋_GB2312" w:eastAsia="仿宋_GB2312"/>
          <w:spacing w:val="0"/>
          <w:w w:val="100"/>
          <w:sz w:val="30"/>
          <w:szCs w:val="30"/>
        </w:rPr>
      </w:pPr>
      <w:r>
        <w:rPr>
          <w:rFonts w:hint="eastAsia" w:ascii="仿宋_GB2312" w:eastAsia="仿宋_GB2312"/>
          <w:spacing w:val="0"/>
          <w:w w:val="100"/>
          <w:sz w:val="30"/>
          <w:szCs w:val="30"/>
        </w:rPr>
        <w:t>本商户</w:t>
      </w:r>
      <w:r>
        <w:rPr>
          <w:rFonts w:hint="eastAsia" w:ascii="仿宋" w:hAnsi="仿宋" w:eastAsia="仿宋" w:cs="仿宋"/>
          <w:spacing w:val="0"/>
          <w:w w:val="100"/>
          <w:sz w:val="30"/>
          <w:szCs w:val="30"/>
        </w:rPr>
        <w:t>已知晓</w:t>
      </w:r>
      <w:r>
        <w:rPr>
          <w:rFonts w:hint="eastAsia" w:ascii="仿宋_GB2312" w:eastAsia="仿宋_GB2312"/>
          <w:spacing w:val="0"/>
          <w:w w:val="100"/>
          <w:sz w:val="30"/>
          <w:szCs w:val="30"/>
        </w:rPr>
        <w:t>如违反以上承诺，将失去参与本次活动的资格等事项</w:t>
      </w:r>
      <w:r>
        <w:rPr>
          <w:rFonts w:hint="eastAsia" w:ascii="仿宋_GB2312" w:eastAsia="仿宋_GB2312"/>
          <w:spacing w:val="0"/>
          <w:w w:val="100"/>
          <w:sz w:val="30"/>
          <w:szCs w:val="30"/>
          <w:lang w:eastAsia="zh-CN"/>
        </w:rPr>
        <w:t>并承担相应的责任</w:t>
      </w:r>
      <w:r>
        <w:rPr>
          <w:rFonts w:hint="eastAsia" w:ascii="仿宋_GB2312" w:eastAsia="仿宋_GB2312"/>
          <w:spacing w:val="0"/>
          <w:w w:val="100"/>
          <w:sz w:val="30"/>
          <w:szCs w:val="30"/>
        </w:rPr>
        <w:t>。</w:t>
      </w:r>
    </w:p>
    <w:p w14:paraId="48CE74F7">
      <w:pPr>
        <w:keepNext w:val="0"/>
        <w:keepLines w:val="0"/>
        <w:pageBreakBefore w:val="0"/>
        <w:widowControl w:val="0"/>
        <w:kinsoku/>
        <w:wordWrap/>
        <w:overflowPunct/>
        <w:topLinePunct w:val="0"/>
        <w:bidi w:val="0"/>
        <w:adjustRightInd/>
        <w:snapToGrid/>
        <w:spacing w:line="600" w:lineRule="exact"/>
        <w:ind w:right="0" w:firstLine="600" w:firstLineChars="200"/>
        <w:jc w:val="right"/>
        <w:textAlignment w:val="auto"/>
        <w:rPr>
          <w:rFonts w:ascii="仿宋_GB2312" w:eastAsia="仿宋_GB2312"/>
          <w:spacing w:val="0"/>
          <w:w w:val="100"/>
          <w:sz w:val="30"/>
          <w:szCs w:val="30"/>
        </w:rPr>
      </w:pPr>
      <w:r>
        <w:rPr>
          <w:rFonts w:hint="eastAsia" w:ascii="仿宋_GB2312" w:eastAsia="仿宋_GB2312"/>
          <w:spacing w:val="0"/>
          <w:w w:val="100"/>
          <w:sz w:val="30"/>
          <w:szCs w:val="30"/>
        </w:rPr>
        <w:t xml:space="preserve"> </w:t>
      </w:r>
      <w:r>
        <w:rPr>
          <w:rFonts w:hint="eastAsia" w:ascii="仿宋_GB2312" w:eastAsia="仿宋_GB2312"/>
          <w:spacing w:val="0"/>
          <w:w w:val="100"/>
          <w:sz w:val="30"/>
          <w:szCs w:val="30"/>
          <w:lang w:val="en-US" w:eastAsia="zh-CN"/>
        </w:rPr>
        <w:t xml:space="preserve"> </w:t>
      </w:r>
      <w:r>
        <w:rPr>
          <w:rFonts w:ascii="仿宋" w:hAnsi="仿宋" w:eastAsia="仿宋"/>
          <w:color w:val="0D0D0D" w:themeColor="text1" w:themeTint="F2"/>
          <w:spacing w:val="0"/>
          <w:w w:val="100"/>
          <w:sz w:val="30"/>
          <w:szCs w:val="30"/>
          <w:u w:val="single"/>
          <w14:textFill>
            <w14:solidFill>
              <w14:schemeClr w14:val="tx1">
                <w14:lumMod w14:val="95000"/>
                <w14:lumOff w14:val="5000"/>
              </w14:schemeClr>
            </w14:solidFill>
          </w14:textFill>
        </w:rPr>
        <w:tab/>
      </w:r>
      <w:r>
        <w:rPr>
          <w:rFonts w:hint="eastAsia" w:ascii="仿宋" w:hAnsi="仿宋" w:eastAsia="仿宋"/>
          <w:color w:val="0D0D0D" w:themeColor="text1" w:themeTint="F2"/>
          <w:spacing w:val="0"/>
          <w:w w:val="100"/>
          <w:sz w:val="30"/>
          <w:szCs w:val="30"/>
          <w:u w:val="single"/>
          <w:lang w:val="en-US" w:eastAsia="zh-CN"/>
          <w14:textFill>
            <w14:solidFill>
              <w14:schemeClr w14:val="tx1">
                <w14:lumMod w14:val="95000"/>
                <w14:lumOff w14:val="5000"/>
              </w14:schemeClr>
            </w14:solidFill>
          </w14:textFill>
        </w:rPr>
        <w:t xml:space="preserve">    </w:t>
      </w:r>
      <w:r>
        <w:rPr>
          <w:rFonts w:ascii="仿宋" w:hAnsi="仿宋" w:eastAsia="仿宋"/>
          <w:color w:val="0D0D0D" w:themeColor="text1" w:themeTint="F2"/>
          <w:spacing w:val="0"/>
          <w:w w:val="100"/>
          <w:sz w:val="30"/>
          <w:szCs w:val="30"/>
          <w:u w:val="single"/>
          <w14:textFill>
            <w14:solidFill>
              <w14:schemeClr w14:val="tx1">
                <w14:lumMod w14:val="95000"/>
                <w14:lumOff w14:val="5000"/>
              </w14:schemeClr>
            </w14:solidFill>
          </w14:textFill>
        </w:rPr>
        <w:tab/>
      </w:r>
      <w:r>
        <w:rPr>
          <w:rFonts w:ascii="仿宋" w:hAnsi="仿宋" w:eastAsia="仿宋"/>
          <w:color w:val="0D0D0D" w:themeColor="text1" w:themeTint="F2"/>
          <w:spacing w:val="0"/>
          <w:w w:val="100"/>
          <w:sz w:val="30"/>
          <w:szCs w:val="30"/>
          <w:u w:val="single"/>
          <w14:textFill>
            <w14:solidFill>
              <w14:schemeClr w14:val="tx1">
                <w14:lumMod w14:val="95000"/>
                <w14:lumOff w14:val="5000"/>
              </w14:schemeClr>
            </w14:solidFill>
          </w14:textFill>
        </w:rPr>
        <w:t xml:space="preserve">          </w:t>
      </w:r>
      <w:r>
        <w:rPr>
          <w:rFonts w:hint="eastAsia" w:ascii="仿宋_GB2312" w:eastAsia="仿宋_GB2312"/>
          <w:spacing w:val="0"/>
          <w:w w:val="100"/>
          <w:sz w:val="30"/>
          <w:szCs w:val="30"/>
        </w:rPr>
        <w:t>公司</w:t>
      </w:r>
    </w:p>
    <w:p w14:paraId="40B8BB13">
      <w:pPr>
        <w:keepNext w:val="0"/>
        <w:keepLines w:val="0"/>
        <w:pageBreakBefore w:val="0"/>
        <w:widowControl w:val="0"/>
        <w:kinsoku/>
        <w:wordWrap/>
        <w:overflowPunct/>
        <w:topLinePunct w:val="0"/>
        <w:bidi w:val="0"/>
        <w:adjustRightInd/>
        <w:snapToGrid/>
        <w:spacing w:line="600" w:lineRule="exact"/>
        <w:ind w:right="0" w:firstLine="600" w:firstLineChars="200"/>
        <w:jc w:val="center"/>
        <w:textAlignment w:val="auto"/>
        <w:rPr>
          <w:rFonts w:ascii="仿宋_GB2312" w:eastAsia="仿宋_GB2312"/>
          <w:spacing w:val="0"/>
          <w:w w:val="100"/>
          <w:sz w:val="30"/>
          <w:szCs w:val="30"/>
        </w:rPr>
      </w:pPr>
      <w:r>
        <w:rPr>
          <w:rFonts w:hint="eastAsia" w:ascii="仿宋_GB2312" w:eastAsia="仿宋_GB2312"/>
          <w:spacing w:val="0"/>
          <w:w w:val="100"/>
          <w:sz w:val="30"/>
          <w:szCs w:val="30"/>
          <w:lang w:val="en-US" w:eastAsia="zh-CN"/>
        </w:rPr>
        <w:t xml:space="preserve">                    </w:t>
      </w:r>
      <w:r>
        <w:rPr>
          <w:rFonts w:hint="eastAsia" w:ascii="仿宋_GB2312" w:eastAsia="仿宋_GB2312"/>
          <w:spacing w:val="0"/>
          <w:w w:val="100"/>
          <w:sz w:val="30"/>
          <w:szCs w:val="30"/>
        </w:rPr>
        <w:t xml:space="preserve">签字：        </w:t>
      </w:r>
    </w:p>
    <w:p w14:paraId="54D6D1CC">
      <w:pPr>
        <w:keepNext w:val="0"/>
        <w:keepLines w:val="0"/>
        <w:pageBreakBefore w:val="0"/>
        <w:widowControl/>
        <w:kinsoku w:val="0"/>
        <w:wordWrap/>
        <w:overflowPunct/>
        <w:topLinePunct w:val="0"/>
        <w:autoSpaceDE w:val="0"/>
        <w:autoSpaceDN w:val="0"/>
        <w:bidi w:val="0"/>
        <w:adjustRightInd w:val="0"/>
        <w:snapToGrid w:val="0"/>
        <w:spacing w:line="600" w:lineRule="exact"/>
        <w:jc w:val="right"/>
        <w:textAlignment w:val="baseline"/>
        <w:rPr>
          <w:rFonts w:hint="eastAsia" w:ascii="仿宋_GB2312" w:eastAsia="仿宋_GB2312"/>
          <w:spacing w:val="0"/>
          <w:w w:val="100"/>
          <w:sz w:val="30"/>
          <w:szCs w:val="30"/>
        </w:rPr>
      </w:pPr>
      <w:r>
        <w:rPr>
          <w:rFonts w:hint="eastAsia" w:ascii="仿宋_GB2312" w:eastAsia="仿宋_GB2312"/>
          <w:spacing w:val="0"/>
          <w:w w:val="100"/>
          <w:sz w:val="30"/>
          <w:szCs w:val="30"/>
          <w:u w:val="single"/>
          <w:lang w:val="en-US" w:eastAsia="zh-CN"/>
        </w:rPr>
        <w:t xml:space="preserve">  2026  </w:t>
      </w:r>
      <w:r>
        <w:rPr>
          <w:rFonts w:hint="eastAsia" w:ascii="仿宋_GB2312" w:eastAsia="仿宋_GB2312"/>
          <w:spacing w:val="0"/>
          <w:w w:val="100"/>
          <w:sz w:val="30"/>
          <w:szCs w:val="30"/>
        </w:rPr>
        <w:t>年</w:t>
      </w:r>
      <w:r>
        <w:rPr>
          <w:rFonts w:hint="eastAsia" w:ascii="仿宋_GB2312" w:eastAsia="仿宋_GB2312"/>
          <w:spacing w:val="0"/>
          <w:w w:val="100"/>
          <w:sz w:val="30"/>
          <w:szCs w:val="30"/>
          <w:u w:val="single"/>
          <w:lang w:val="en-US" w:eastAsia="zh-CN"/>
        </w:rPr>
        <w:t xml:space="preserve">    </w:t>
      </w:r>
      <w:r>
        <w:rPr>
          <w:rFonts w:hint="eastAsia" w:ascii="仿宋_GB2312" w:eastAsia="仿宋_GB2312"/>
          <w:spacing w:val="0"/>
          <w:w w:val="100"/>
          <w:sz w:val="30"/>
          <w:szCs w:val="30"/>
        </w:rPr>
        <w:t>月</w:t>
      </w:r>
      <w:r>
        <w:rPr>
          <w:rFonts w:hint="eastAsia" w:ascii="仿宋_GB2312" w:eastAsia="仿宋_GB2312"/>
          <w:spacing w:val="0"/>
          <w:w w:val="100"/>
          <w:sz w:val="30"/>
          <w:szCs w:val="30"/>
          <w:u w:val="single"/>
          <w:lang w:val="en-US" w:eastAsia="zh-CN"/>
        </w:rPr>
        <w:t xml:space="preserve">    </w:t>
      </w:r>
      <w:r>
        <w:rPr>
          <w:rFonts w:hint="eastAsia" w:ascii="仿宋_GB2312" w:eastAsia="仿宋_GB2312"/>
          <w:spacing w:val="0"/>
          <w:w w:val="100"/>
          <w:sz w:val="30"/>
          <w:szCs w:val="30"/>
        </w:rPr>
        <w:t>日</w:t>
      </w:r>
    </w:p>
    <w:p w14:paraId="47056F65">
      <w:pPr>
        <w:keepNext w:val="0"/>
        <w:keepLines w:val="0"/>
        <w:pageBreakBefore w:val="0"/>
        <w:widowControl w:val="0"/>
        <w:kinsoku/>
        <w:wordWrap/>
        <w:overflowPunct/>
        <w:topLinePunct w:val="0"/>
        <w:bidi w:val="0"/>
        <w:adjustRightInd/>
        <w:snapToGrid/>
        <w:spacing w:line="500" w:lineRule="exact"/>
        <w:ind w:right="0"/>
        <w:jc w:val="both"/>
        <w:textAlignment w:val="auto"/>
        <w:rPr>
          <w:rFonts w:eastAsiaTheme="minorEastAsia"/>
          <w:vanish/>
          <w:spacing w:val="0"/>
          <w:w w:val="100"/>
          <w:sz w:val="21"/>
        </w:rPr>
      </w:pPr>
      <w:bookmarkStart w:id="0" w:name="_GoBack"/>
      <w:bookmarkEnd w:id="0"/>
    </w:p>
    <w:sectPr>
      <w:footerReference r:id="rId3" w:type="default"/>
      <w:pgSz w:w="11906" w:h="16838"/>
      <w:pgMar w:top="1417" w:right="1474" w:bottom="1361" w:left="1587" w:header="851" w:footer="879"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国标宋体">
    <w:panose1 w:val="02000500000000000000"/>
    <w:charset w:val="86"/>
    <w:family w:val="auto"/>
    <w:pitch w:val="default"/>
    <w:sig w:usb0="00000001" w:usb1="2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Nimbus Roman">
    <w:panose1 w:val="00000500000000000000"/>
    <w:charset w:val="00"/>
    <w:family w:val="auto"/>
    <w:pitch w:val="default"/>
    <w:sig w:usb0="00000287" w:usb1="00000800" w:usb2="00000000" w:usb3="00000000" w:csb0="6000009F" w:csb1="00000000"/>
  </w:font>
  <w:font w:name="国标仿宋-GB/T 2312">
    <w:panose1 w:val="02000500000000000000"/>
    <w:charset w:val="86"/>
    <w:family w:val="auto"/>
    <w:pitch w:val="default"/>
    <w:sig w:usb0="800002AF" w:usb1="08476CF8"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85788">
    <w:pPr>
      <w:spacing w:line="386" w:lineRule="exact"/>
      <w:ind w:left="7360"/>
      <w:rPr>
        <w:rFonts w:ascii="宋体" w:hAnsi="宋体" w:eastAsia="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34668E">
                          <w:pPr>
                            <w:pStyle w:val="4"/>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734668E">
                    <w:pPr>
                      <w:pStyle w:val="4"/>
                    </w:pPr>
                    <w:r>
                      <w:fldChar w:fldCharType="begin"/>
                    </w:r>
                    <w:r>
                      <w:instrText xml:space="preserve"> PAGE  \* MERGEFORMAT </w:instrText>
                    </w:r>
                    <w:r>
                      <w:fldChar w:fldCharType="separate"/>
                    </w:r>
                    <w:r>
                      <w:t>5</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C175EA"/>
    <w:rsid w:val="1D71D1FD"/>
    <w:rsid w:val="2FFC82ED"/>
    <w:rsid w:val="31EF7291"/>
    <w:rsid w:val="37FACDAD"/>
    <w:rsid w:val="4DFCB392"/>
    <w:rsid w:val="4DFD752C"/>
    <w:rsid w:val="549D1D41"/>
    <w:rsid w:val="59D93DE6"/>
    <w:rsid w:val="5BEAA24E"/>
    <w:rsid w:val="5FFF0456"/>
    <w:rsid w:val="62C175EA"/>
    <w:rsid w:val="6F59605F"/>
    <w:rsid w:val="74B078C9"/>
    <w:rsid w:val="76F5426A"/>
    <w:rsid w:val="7BDBAA8D"/>
    <w:rsid w:val="7DFE988E"/>
    <w:rsid w:val="ADD71160"/>
    <w:rsid w:val="BF7EF4E1"/>
    <w:rsid w:val="EDAB94A3"/>
    <w:rsid w:val="F9EFF30E"/>
    <w:rsid w:val="FEFE339B"/>
    <w:rsid w:val="FFA333F2"/>
    <w:rsid w:val="FFBF45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31"/>
      <w:szCs w:val="31"/>
      <w:lang w:val="en-US" w:eastAsia="en-US" w:bidi="ar-SA"/>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paragraph" w:customStyle="1" w:styleId="10">
    <w:name w:val="_Style 1"/>
    <w:qFormat/>
    <w:uiPriority w:val="0"/>
    <w:pPr>
      <w:widowControl w:val="0"/>
      <w:spacing w:line="600" w:lineRule="exact"/>
      <w:ind w:firstLine="200" w:firstLineChars="200"/>
      <w:jc w:val="both"/>
    </w:pPr>
    <w:rPr>
      <w:rFonts w:ascii="宋体" w:hAnsi="宋体" w:eastAsia="仿宋_GB2312" w:cs="Times New Roman"/>
      <w:kern w:val="2"/>
      <w:sz w:val="32"/>
      <w:szCs w:val="32"/>
      <w:lang w:val="en-US" w:eastAsia="zh-CN" w:bidi="ar-SA"/>
    </w:rPr>
  </w:style>
  <w:style w:type="paragraph" w:customStyle="1" w:styleId="11">
    <w:name w:val="Table Text"/>
    <w:basedOn w:val="1"/>
    <w:semiHidden/>
    <w:qFormat/>
    <w:uiPriority w:val="0"/>
    <w:rPr>
      <w:rFonts w:ascii="黑体" w:hAnsi="黑体" w:eastAsia="黑体" w:cs="黑体"/>
      <w:sz w:val="22"/>
      <w:szCs w:val="22"/>
      <w:lang w:val="en-US" w:eastAsia="en-US" w:bidi="ar-SA"/>
    </w:rPr>
  </w:style>
  <w:style w:type="table" w:customStyle="1" w:styleId="1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964</Words>
  <Characters>1016</Characters>
  <Lines>0</Lines>
  <Paragraphs>0</Paragraphs>
  <TotalTime>44</TotalTime>
  <ScaleCrop>false</ScaleCrop>
  <LinksUpToDate>false</LinksUpToDate>
  <CharactersWithSpaces>1078</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2025-12-27T23:39:00Z</dcterms:created>
  <dc:creator>是九日宝宝</dc:creator>
  <cp:lastModifiedBy>huawei05</cp:lastModifiedBy>
  <cp:lastPrinted>2026-10-28T08:18:00Z</cp:lastPrinted>
  <dcterms:modified xsi:type="dcterms:W3CDTF">2026-10-27T17:39:31Z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98A27DE9D74EDA0B1371E06ADA44AB81_43</vt:lpwstr>
  </property>
  <property fmtid="{D5CDD505-2E9C-101B-9397-08002B2CF9AE}" pid="4" name="KSOTemplateDocerSaveRecord">
    <vt:lpwstr>eyJoZGlkIjoiMTBkMjdlM2VkN2Y1OWExYWMxMDQ1NTE5N2E0NDhkOWYiLCJ1c2VySWQiOiIyODk0MDMzNTgifQ==</vt:lpwstr>
  </property>
</Properties>
</file>