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9E63D">
      <w:pPr>
        <w:widowControl/>
        <w:jc w:val="left"/>
        <w:textAlignment w:val="top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附件4</w:t>
      </w:r>
    </w:p>
    <w:p w14:paraId="3D50C77E">
      <w:pPr>
        <w:jc w:val="center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广灵县金属非金属矿山生产安全事故预警级别及预警措施</w:t>
      </w:r>
    </w:p>
    <w:bookmarkEnd w:id="0"/>
    <w:tbl>
      <w:tblPr>
        <w:tblStyle w:val="2"/>
        <w:tblW w:w="1387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0"/>
        <w:gridCol w:w="3807"/>
        <w:gridCol w:w="3918"/>
        <w:gridCol w:w="2888"/>
      </w:tblGrid>
      <w:tr w14:paraId="62566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32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277BA8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红色预警（最高）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09B41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橙色预警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26D9D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黄色预警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F09A8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蓝色预警</w:t>
            </w:r>
          </w:p>
        </w:tc>
      </w:tr>
      <w:tr w14:paraId="430B9C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0" w:hRule="atLeast"/>
        </w:trPr>
        <w:tc>
          <w:tcPr>
            <w:tcW w:w="32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84C8A2">
            <w:pPr>
              <w:widowControl/>
              <w:spacing w:line="34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造成或可能造成30人以上死亡（含失踪）；造成或可能造成100人以上重伤（中毒）；造成或可能造成30人以上受困、下落不明；需要疏散、撤离5000人以上或紧急转移安置10万人以上；造成或者可能造成1亿元以上直接经济损失的事故灾难。 </w:t>
            </w:r>
          </w:p>
        </w:tc>
        <w:tc>
          <w:tcPr>
            <w:tcW w:w="38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C7306B">
            <w:pPr>
              <w:widowControl/>
              <w:spacing w:line="34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造成或可能造成10人以上、30人以下死亡（含失踪），造成或者可能造成50人以上、100人以下重伤（中毒）；可能需要疏散、撤离1000以上、5000人以下；造成或可能造成10人以上、30人以下受困、下落不明。造成或者可能造成5000万元以上、1亿元以下直接经济损失的生产安全事故灾难。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09AAD3">
            <w:pPr>
              <w:widowControl/>
              <w:spacing w:line="34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造成或者可能造成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bidi="ar"/>
              </w:rPr>
              <w:t>3人以上、10人以下死亡（含失踪）；造成或者可能造成10人以上、50人以下重伤（中毒）；造成或者可能造成3人以上、10人以下受困、下落不明；可能需要疏散、撤离100人以上、1000人以下；造成或者可能造成1000万元以上、5000万元以下直接经济损失的生产安全事故灾难。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93D9E3">
            <w:pPr>
              <w:widowControl/>
              <w:spacing w:line="34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造成或者可能造成3人以下死亡（含失踪），或者10人以下重伤（中毒）；可能需要疏散、撤离100人以下；造成或者可能造成3人以下受困、下落不明。造成或者可能造成1000万元以下直接经济损失的事故。</w:t>
            </w:r>
          </w:p>
        </w:tc>
      </w:tr>
      <w:tr w14:paraId="7664B7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138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7A5F4">
            <w:pPr>
              <w:widowControl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红色、橙色、黄色、蓝色预警公告发布后,各级人民政府要进入应急状态，做好应急响应各项准备工作。各有关应急救援队伍在接到红色、橙色、黄色、蓝色预警信息后,分别进入红色、橙色、黄色、蓝色应急准备。</w:t>
            </w:r>
          </w:p>
        </w:tc>
      </w:tr>
      <w:tr w14:paraId="76B782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 w:hRule="atLeast"/>
        </w:trPr>
        <w:tc>
          <w:tcPr>
            <w:tcW w:w="109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5698F8">
            <w:pPr>
              <w:widowControl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红色、橙色、黄色预警公告发布后,县指挥部各成员单位要进入应急状态,密切关注事态进展,并按照预案做好应急响应的准备工作。县指挥部办公室要及时分析事故预警信息,对情况特别严重的建议县人民政府及时提升预警级别。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70CF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EB64A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7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1FB59">
            <w:pPr>
              <w:widowControl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红色、橙色应急准备,应急救援队伍进入临战状态;指挥部人员24小时坚守岗位,开通全部通信联络方式,对可能发生的事故全面分析;救援队伍开始临战动员,对救援人员进行分组、对救援任务进行分解;落实各项保障措施,重型应急装备根据需要开始进入临战状态;完善应急响应行动方案,完成一切临战准备,队伍处于待命出发状态。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98F9D4">
            <w:pPr>
              <w:spacing w:line="340" w:lineRule="exact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A4AC7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DE6D8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3" w:hRule="atLeast"/>
        </w:trPr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DD896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E80C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192B8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黄色应急准备,应急救援队伍实施领导带班值班;值班人员加强与有关方面的联系;救援队伍开始战备动员,对应急救援任务进行讨论分析;根据应急救援任务需求补充应急物资,轻型应急装备开始进入应急准备状态;完成一切临战准备。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5AB6C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蓝色应急准备,应急救援队伍要加强应急值班,建立与有关方面的联系;启封、检修、补充应急装备和物资;制订应急响应行动方案,开展战前应急训练</w:t>
            </w:r>
          </w:p>
        </w:tc>
      </w:tr>
    </w:tbl>
    <w:p w14:paraId="6DA7290C"/>
    <w:sectPr>
      <w:pgSz w:w="16838" w:h="11906" w:orient="landscape"/>
      <w:pgMar w:top="1531" w:right="1797" w:bottom="153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B682A"/>
    <w:rsid w:val="1E9B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2026-11-05T01:26:00Z</dcterms:created>
  <dc:creator>二喜庆</dc:creator>
  <cp:lastModifiedBy>二喜庆</cp:lastModifiedBy>
  <dcterms:modified xsi:type="dcterms:W3CDTF">2026-11-05T01:27:24Z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A7EBA8EC936445E791201C687341060E_11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