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F466F">
      <w:pPr>
        <w:pStyle w:val="3"/>
        <w:bidi w:val="0"/>
        <w:jc w:val="center"/>
        <w:rPr>
          <w:rFonts w:hint="eastAsia"/>
          <w:sz w:val="36"/>
          <w:szCs w:val="36"/>
          <w:lang w:val="en-US" w:eastAsia="zh-CN"/>
        </w:rPr>
      </w:pPr>
      <w:r>
        <w:rPr>
          <w:rFonts w:hint="eastAsia"/>
          <w:sz w:val="36"/>
          <w:szCs w:val="36"/>
          <w:lang w:val="en-US" w:eastAsia="zh-CN"/>
        </w:rPr>
        <w:t>《广灵县中心城区控制</w:t>
      </w:r>
      <w:bookmarkStart w:id="0" w:name="_GoBack"/>
      <w:bookmarkEnd w:id="0"/>
      <w:r>
        <w:rPr>
          <w:rFonts w:hint="eastAsia"/>
          <w:sz w:val="36"/>
          <w:szCs w:val="36"/>
          <w:lang w:val="en-US" w:eastAsia="zh-CN"/>
        </w:rPr>
        <w:t>性详细规划》</w:t>
      </w:r>
    </w:p>
    <w:p w14:paraId="73C4321F">
      <w:pPr>
        <w:pStyle w:val="3"/>
        <w:bidi w:val="0"/>
        <w:jc w:val="center"/>
        <w:rPr>
          <w:rFonts w:hint="default"/>
          <w:sz w:val="36"/>
          <w:szCs w:val="36"/>
          <w:lang w:val="en-US"/>
        </w:rPr>
      </w:pPr>
      <w:r>
        <w:rPr>
          <w:rFonts w:hint="eastAsia"/>
          <w:sz w:val="36"/>
          <w:szCs w:val="36"/>
          <w:lang w:val="en-US" w:eastAsia="zh-CN"/>
        </w:rPr>
        <w:t>公示成果</w:t>
      </w:r>
    </w:p>
    <w:p w14:paraId="5AD46564">
      <w:pPr>
        <w:pStyle w:val="3"/>
        <w:bidi w:val="0"/>
        <w:rPr>
          <w:rFonts w:hint="eastAsia"/>
        </w:rPr>
      </w:pPr>
      <w:r>
        <w:rPr>
          <w:rFonts w:hint="eastAsia"/>
        </w:rPr>
        <w:t>一、规划范围</w:t>
      </w:r>
    </w:p>
    <w:p w14:paraId="2888B5B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Times New Roman"/>
          <w:sz w:val="28"/>
          <w:szCs w:val="28"/>
        </w:rPr>
      </w:pPr>
      <w:r>
        <w:rPr>
          <w:rFonts w:hint="eastAsia" w:cs="Times New Roman"/>
          <w:sz w:val="28"/>
          <w:szCs w:val="28"/>
          <w:lang w:val="en-US" w:eastAsia="zh-CN"/>
        </w:rPr>
        <w:t>本</w:t>
      </w:r>
      <w:r>
        <w:rPr>
          <w:rFonts w:hint="eastAsia" w:ascii="仿宋" w:hAnsi="仿宋" w:eastAsia="仿宋" w:cs="Times New Roman"/>
          <w:sz w:val="28"/>
          <w:szCs w:val="28"/>
        </w:rPr>
        <w:t>规划范围涉及壶泉镇东台社区居民委员会、三庄社区居民委员会、北关社区居民委员会、西关社区居民委员会、文华社区居民委员会、舒惠社区居民委员会、蕙花社区居民委员会、北道岩社区居民委员会、商村社区居民委员会、三庄村委会、城新村委会、北关村委会、西关村委会、沙河村委会、南关村委会、东台村委会、稻地村委会、西河乡村委会共9个社区居民委员会和9个村委会。</w:t>
      </w:r>
    </w:p>
    <w:p w14:paraId="2529680A">
      <w:pPr>
        <w:bidi w:val="0"/>
        <w:rPr>
          <w:rFonts w:hint="eastAsia" w:ascii="仿宋" w:hAnsi="仿宋" w:eastAsia="仿宋" w:cs="Times New Roman"/>
          <w:sz w:val="28"/>
          <w:szCs w:val="28"/>
        </w:rPr>
      </w:pPr>
      <w:r>
        <w:rPr>
          <w:rFonts w:hint="eastAsia" w:cs="Times New Roman"/>
          <w:sz w:val="28"/>
          <w:szCs w:val="28"/>
          <w:lang w:val="en-US" w:eastAsia="zh-CN"/>
        </w:rPr>
        <w:t>规划</w:t>
      </w:r>
      <w:r>
        <w:rPr>
          <w:rFonts w:hint="eastAsia" w:ascii="仿宋" w:hAnsi="仿宋" w:eastAsia="仿宋" w:cs="Times New Roman"/>
          <w:sz w:val="28"/>
          <w:szCs w:val="28"/>
        </w:rPr>
        <w:t>面积1150.13公顷，</w:t>
      </w:r>
      <w:r>
        <w:rPr>
          <w:rFonts w:hint="eastAsia" w:cs="Times New Roman"/>
          <w:sz w:val="28"/>
          <w:szCs w:val="28"/>
          <w:lang w:val="en-US" w:eastAsia="zh-CN"/>
        </w:rPr>
        <w:t>均位于</w:t>
      </w:r>
      <w:r>
        <w:rPr>
          <w:rFonts w:hint="eastAsia" w:ascii="仿宋" w:hAnsi="仿宋" w:eastAsia="仿宋" w:cs="Times New Roman"/>
          <w:sz w:val="28"/>
          <w:szCs w:val="28"/>
        </w:rPr>
        <w:t>城镇开发边界</w:t>
      </w:r>
      <w:r>
        <w:rPr>
          <w:rFonts w:hint="eastAsia" w:cs="Times New Roman"/>
          <w:sz w:val="28"/>
          <w:szCs w:val="28"/>
          <w:lang w:val="en-US" w:eastAsia="zh-CN"/>
        </w:rPr>
        <w:t>范围内</w:t>
      </w:r>
      <w:r>
        <w:rPr>
          <w:rFonts w:hint="eastAsia" w:ascii="仿宋" w:hAnsi="仿宋" w:eastAsia="仿宋" w:cs="Times New Roman"/>
          <w:sz w:val="28"/>
          <w:szCs w:val="28"/>
        </w:rPr>
        <w:t>，其中城镇集中建设区面积1141.94公顷，特别用途区面积8.19公顷。</w:t>
      </w:r>
    </w:p>
    <w:p w14:paraId="5FC936CD">
      <w:pPr>
        <w:pStyle w:val="3"/>
        <w:bidi w:val="0"/>
        <w:rPr>
          <w:rFonts w:hint="default"/>
          <w:lang w:val="en-US" w:eastAsia="zh-CN"/>
        </w:rPr>
      </w:pPr>
      <w:r>
        <w:rPr>
          <w:rFonts w:hint="eastAsia"/>
          <w:lang w:val="en-US" w:eastAsia="zh-CN"/>
        </w:rPr>
        <w:t>二、规划理念与定位</w:t>
      </w:r>
    </w:p>
    <w:p w14:paraId="6B05FADD">
      <w:pPr>
        <w:spacing w:line="420" w:lineRule="auto"/>
        <w:ind w:firstLine="560" w:firstLineChars="200"/>
        <w:rPr>
          <w:rFonts w:hint="eastAsia" w:ascii="仿宋" w:hAnsi="仿宋" w:eastAsia="仿宋"/>
          <w:b w:val="0"/>
          <w:bCs w:val="0"/>
          <w:i w:val="0"/>
          <w:iCs w:val="0"/>
          <w:sz w:val="28"/>
          <w:szCs w:val="28"/>
          <w:u w:val="none"/>
        </w:rPr>
      </w:pPr>
      <w:r>
        <w:rPr>
          <w:rFonts w:hint="eastAsia" w:ascii="仿宋" w:hAnsi="仿宋" w:eastAsia="仿宋"/>
          <w:b w:val="0"/>
          <w:bCs w:val="0"/>
          <w:i w:val="0"/>
          <w:iCs w:val="0"/>
          <w:sz w:val="28"/>
          <w:szCs w:val="28"/>
          <w:u w:val="none"/>
        </w:rPr>
        <w:t>水是广灵宝贵的生态资源</w:t>
      </w:r>
    </w:p>
    <w:p w14:paraId="3468268E">
      <w:pPr>
        <w:spacing w:line="420" w:lineRule="auto"/>
        <w:ind w:firstLine="560" w:firstLineChars="200"/>
        <w:rPr>
          <w:rFonts w:hint="eastAsia" w:ascii="仿宋" w:hAnsi="仿宋" w:eastAsia="仿宋"/>
          <w:b w:val="0"/>
          <w:bCs w:val="0"/>
          <w:sz w:val="28"/>
          <w:szCs w:val="28"/>
          <w:lang w:eastAsia="zh-CN"/>
        </w:rPr>
      </w:pPr>
      <w:r>
        <w:rPr>
          <w:rFonts w:hint="eastAsia" w:ascii="仿宋" w:hAnsi="仿宋" w:eastAsia="仿宋"/>
          <w:b w:val="0"/>
          <w:bCs w:val="0"/>
          <w:sz w:val="28"/>
          <w:szCs w:val="28"/>
        </w:rPr>
        <w:t>老城——以文为魂</w:t>
      </w:r>
      <w:r>
        <w:rPr>
          <w:rFonts w:hint="eastAsia"/>
          <w:b w:val="0"/>
          <w:bCs w:val="0"/>
          <w:sz w:val="28"/>
          <w:szCs w:val="28"/>
          <w:lang w:eastAsia="zh-CN"/>
        </w:rPr>
        <w:t>：</w:t>
      </w:r>
      <w:r>
        <w:rPr>
          <w:rFonts w:hint="eastAsia" w:ascii="仿宋" w:hAnsi="仿宋" w:eastAsia="仿宋"/>
          <w:b w:val="0"/>
          <w:bCs w:val="0"/>
          <w:sz w:val="28"/>
          <w:szCs w:val="28"/>
        </w:rPr>
        <w:t>在城市建设中贯穿历史文化主线</w:t>
      </w:r>
      <w:r>
        <w:rPr>
          <w:rFonts w:hint="eastAsia" w:ascii="仿宋" w:hAnsi="仿宋" w:eastAsia="仿宋"/>
          <w:b w:val="0"/>
          <w:bCs w:val="0"/>
          <w:sz w:val="28"/>
          <w:szCs w:val="28"/>
          <w:lang w:eastAsia="zh-CN"/>
        </w:rPr>
        <w:t>，</w:t>
      </w:r>
      <w:r>
        <w:rPr>
          <w:rFonts w:hint="eastAsia" w:ascii="仿宋" w:hAnsi="仿宋" w:eastAsia="仿宋"/>
          <w:b w:val="0"/>
          <w:bCs w:val="0"/>
          <w:sz w:val="28"/>
          <w:szCs w:val="28"/>
        </w:rPr>
        <w:t>以文聚商，以文兴旅</w:t>
      </w:r>
      <w:r>
        <w:rPr>
          <w:rFonts w:hint="eastAsia" w:ascii="仿宋" w:hAnsi="仿宋" w:eastAsia="仿宋"/>
          <w:b w:val="0"/>
          <w:bCs w:val="0"/>
          <w:sz w:val="28"/>
          <w:szCs w:val="28"/>
          <w:lang w:eastAsia="zh-CN"/>
        </w:rPr>
        <w:t>。</w:t>
      </w:r>
    </w:p>
    <w:p w14:paraId="27C05D31">
      <w:pPr>
        <w:spacing w:line="420" w:lineRule="auto"/>
        <w:ind w:firstLine="560" w:firstLineChars="200"/>
        <w:rPr>
          <w:rFonts w:hint="eastAsia" w:ascii="仿宋" w:hAnsi="仿宋" w:eastAsia="仿宋"/>
          <w:b w:val="0"/>
          <w:bCs w:val="0"/>
          <w:sz w:val="28"/>
          <w:szCs w:val="28"/>
          <w:lang w:eastAsia="zh-CN"/>
        </w:rPr>
      </w:pPr>
      <w:r>
        <w:rPr>
          <w:rFonts w:hint="eastAsia" w:ascii="仿宋" w:hAnsi="仿宋" w:eastAsia="仿宋"/>
          <w:b w:val="0"/>
          <w:bCs w:val="0"/>
          <w:sz w:val="28"/>
          <w:szCs w:val="28"/>
        </w:rPr>
        <w:t>新城——以水为魂</w:t>
      </w:r>
      <w:r>
        <w:rPr>
          <w:rFonts w:hint="eastAsia"/>
          <w:b w:val="0"/>
          <w:bCs w:val="0"/>
          <w:sz w:val="28"/>
          <w:szCs w:val="28"/>
          <w:lang w:eastAsia="zh-CN"/>
        </w:rPr>
        <w:t>：</w:t>
      </w:r>
      <w:r>
        <w:rPr>
          <w:rFonts w:hint="eastAsia" w:ascii="仿宋" w:hAnsi="仿宋" w:eastAsia="仿宋"/>
          <w:b w:val="0"/>
          <w:bCs w:val="0"/>
          <w:sz w:val="28"/>
          <w:szCs w:val="28"/>
        </w:rPr>
        <w:t>新城建设应全力突出绿色IP</w:t>
      </w:r>
      <w:r>
        <w:rPr>
          <w:rFonts w:hint="eastAsia" w:ascii="仿宋" w:hAnsi="仿宋" w:eastAsia="仿宋"/>
          <w:b w:val="0"/>
          <w:bCs w:val="0"/>
          <w:sz w:val="28"/>
          <w:szCs w:val="28"/>
          <w:lang w:eastAsia="zh-CN"/>
        </w:rPr>
        <w:t>，</w:t>
      </w:r>
      <w:r>
        <w:rPr>
          <w:rFonts w:hint="eastAsia" w:ascii="仿宋" w:hAnsi="仿宋" w:eastAsia="仿宋"/>
          <w:b w:val="0"/>
          <w:bCs w:val="0"/>
          <w:sz w:val="28"/>
          <w:szCs w:val="28"/>
        </w:rPr>
        <w:t>打造山灵水净之城、静谧古朴之城</w:t>
      </w:r>
      <w:r>
        <w:rPr>
          <w:rFonts w:hint="eastAsia" w:ascii="仿宋" w:hAnsi="仿宋" w:eastAsia="仿宋"/>
          <w:b w:val="0"/>
          <w:bCs w:val="0"/>
          <w:sz w:val="28"/>
          <w:szCs w:val="28"/>
          <w:lang w:eastAsia="zh-CN"/>
        </w:rPr>
        <w:t>。</w:t>
      </w:r>
    </w:p>
    <w:p w14:paraId="6F020E9E">
      <w:pPr>
        <w:bidi w:val="0"/>
        <w:rPr>
          <w:rFonts w:hint="default"/>
          <w:lang w:val="en-US" w:eastAsia="zh-CN"/>
        </w:rPr>
      </w:pPr>
      <w:r>
        <w:rPr>
          <w:rFonts w:hint="default"/>
          <w:lang w:val="en-US" w:eastAsia="zh-CN"/>
        </w:rPr>
        <w:t>《广灵县中心城区控制性详细规划》在基于上位规划发展诉求的基础上，结合城市建设发展背景、当下诉求，规划更多的从中心城区自身发展特点及功能角度，更多的体现广灵县中心城区文化特色、建筑风貌等角度出发，定位为：服务于京津、晋北，集人居生活、疗养度假、文化体验、生活配套为一体的宜居之城；</w:t>
      </w:r>
    </w:p>
    <w:p w14:paraId="6EFBF148">
      <w:pPr>
        <w:bidi w:val="0"/>
        <w:rPr>
          <w:rFonts w:hint="default"/>
          <w:lang w:val="en-US" w:eastAsia="zh-CN"/>
        </w:rPr>
      </w:pPr>
      <w:r>
        <w:rPr>
          <w:rFonts w:hint="default"/>
          <w:lang w:val="en-US" w:eastAsia="zh-CN"/>
        </w:rPr>
        <w:t>基于自然本底三山环抱独特小气候空间、城区南侧丰富的河道、湿地、水库生态基地构建滨水休闲、生态游憩新空间；</w:t>
      </w:r>
    </w:p>
    <w:p w14:paraId="42EB6F86">
      <w:pPr>
        <w:bidi w:val="0"/>
        <w:rPr>
          <w:rFonts w:hint="default"/>
          <w:lang w:val="en-US" w:eastAsia="zh-CN"/>
        </w:rPr>
      </w:pPr>
      <w:r>
        <w:rPr>
          <w:rFonts w:hint="default"/>
          <w:lang w:val="en-US" w:eastAsia="zh-CN"/>
        </w:rPr>
        <w:t>基于城区家国家级非物质文化遗产保护剪纸艺术，地理标志产品“广灵香菇”、“广灵小米”、“广灵豆品”构建文化历史老街区。</w:t>
      </w:r>
    </w:p>
    <w:p w14:paraId="2ED612B5">
      <w:pPr>
        <w:pStyle w:val="3"/>
        <w:bidi w:val="0"/>
        <w:rPr>
          <w:rFonts w:hint="default"/>
          <w:lang w:val="en-US" w:eastAsia="zh-CN"/>
        </w:rPr>
      </w:pPr>
      <w:r>
        <w:rPr>
          <w:rFonts w:hint="eastAsia"/>
          <w:lang w:val="en-US" w:eastAsia="zh-CN"/>
        </w:rPr>
        <w:t>三、单元划分</w:t>
      </w:r>
    </w:p>
    <w:p w14:paraId="42FF573E">
      <w:pPr>
        <w:bidi w:val="0"/>
        <w:rPr>
          <w:rFonts w:hint="eastAsia" w:ascii="仿宋" w:hAnsi="仿宋" w:eastAsia="仿宋" w:cs="Times New Roman"/>
          <w:b w:val="0"/>
          <w:bCs w:val="0"/>
          <w:sz w:val="28"/>
          <w:szCs w:val="28"/>
          <w:lang w:val="en-US" w:eastAsia="zh-CN"/>
        </w:rPr>
      </w:pPr>
      <w:r>
        <w:rPr>
          <w:rFonts w:hint="eastAsia" w:ascii="仿宋" w:hAnsi="仿宋" w:eastAsia="仿宋" w:cs="Times New Roman"/>
          <w:b w:val="0"/>
          <w:bCs w:val="0"/>
          <w:sz w:val="28"/>
          <w:szCs w:val="28"/>
          <w:lang w:val="en-US" w:eastAsia="zh-CN"/>
        </w:rPr>
        <w:t>根据新城建设、城市更新、乡村建设、低效用地再开发、文化和自然遗产保护利用的需求和产城融合、城乡融合、区域一体、绿色发展等要求，将广灵县中心城区划分为三个一般单元、一个城乡融合单元和一个城乡更新单元，以结合详细规划编制管理需求，探索不同单元类型、不同层级深度详细规划的编制和管控方法。</w:t>
      </w:r>
    </w:p>
    <w:p w14:paraId="747A15C3">
      <w:pPr>
        <w:spacing w:line="360" w:lineRule="auto"/>
        <w:ind w:firstLine="482" w:firstLineChars="200"/>
        <w:jc w:val="center"/>
        <w:rPr>
          <w:rFonts w:hint="default" w:ascii="仿宋" w:hAnsi="仿宋" w:eastAsia="仿宋" w:cs="仿宋"/>
          <w:b/>
          <w:kern w:val="0"/>
          <w:sz w:val="24"/>
          <w:lang w:val="en-US" w:eastAsia="zh-CN"/>
        </w:rPr>
      </w:pPr>
      <w:r>
        <w:rPr>
          <w:rFonts w:hint="eastAsia" w:ascii="仿宋" w:hAnsi="仿宋" w:eastAsia="仿宋" w:cs="仿宋"/>
          <w:b/>
          <w:kern w:val="0"/>
          <w:sz w:val="24"/>
          <w:lang w:val="en-US" w:eastAsia="zh-CN"/>
        </w:rPr>
        <w:t>中心城区单元划分一览表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2011"/>
        <w:gridCol w:w="1014"/>
        <w:gridCol w:w="1624"/>
        <w:gridCol w:w="3047"/>
      </w:tblGrid>
      <w:tr w14:paraId="5E92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483" w:type="pct"/>
            <w:noWrap w:val="0"/>
            <w:vAlign w:val="center"/>
          </w:tcPr>
          <w:p w14:paraId="0B58050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单元类型</w:t>
            </w:r>
          </w:p>
        </w:tc>
        <w:tc>
          <w:tcPr>
            <w:tcW w:w="1180" w:type="pct"/>
            <w:noWrap w:val="0"/>
            <w:vAlign w:val="center"/>
          </w:tcPr>
          <w:p w14:paraId="0EDD3D1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范围</w:t>
            </w:r>
          </w:p>
        </w:tc>
        <w:tc>
          <w:tcPr>
            <w:tcW w:w="595" w:type="pct"/>
            <w:noWrap w:val="0"/>
            <w:vAlign w:val="center"/>
          </w:tcPr>
          <w:p w14:paraId="07C842E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面积</w:t>
            </w:r>
          </w:p>
          <w:p w14:paraId="2F09A11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(hm²)</w:t>
            </w:r>
          </w:p>
        </w:tc>
        <w:tc>
          <w:tcPr>
            <w:tcW w:w="953" w:type="pct"/>
            <w:noWrap w:val="0"/>
            <w:vAlign w:val="center"/>
          </w:tcPr>
          <w:p w14:paraId="6C81D87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主导功能</w:t>
            </w:r>
          </w:p>
        </w:tc>
        <w:tc>
          <w:tcPr>
            <w:tcW w:w="1787" w:type="pct"/>
            <w:noWrap w:val="0"/>
            <w:vAlign w:val="center"/>
          </w:tcPr>
          <w:p w14:paraId="2787F0D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分类引导</w:t>
            </w:r>
          </w:p>
        </w:tc>
      </w:tr>
      <w:tr w14:paraId="3628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3" w:type="pct"/>
            <w:noWrap w:val="0"/>
            <w:vAlign w:val="center"/>
          </w:tcPr>
          <w:p w14:paraId="7558B66F">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一般单元</w:t>
            </w:r>
          </w:p>
        </w:tc>
        <w:tc>
          <w:tcPr>
            <w:tcW w:w="1180" w:type="pct"/>
            <w:noWrap w:val="0"/>
            <w:vAlign w:val="center"/>
          </w:tcPr>
          <w:p w14:paraId="5F4A68F3">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滨河东路以东，正阳线以北</w:t>
            </w:r>
          </w:p>
        </w:tc>
        <w:tc>
          <w:tcPr>
            <w:tcW w:w="595" w:type="pct"/>
            <w:noWrap w:val="0"/>
            <w:vAlign w:val="center"/>
          </w:tcPr>
          <w:p w14:paraId="31584940">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p>
        </w:tc>
        <w:tc>
          <w:tcPr>
            <w:tcW w:w="953" w:type="pct"/>
            <w:noWrap w:val="0"/>
            <w:vAlign w:val="center"/>
          </w:tcPr>
          <w:p w14:paraId="1010FFA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产业发展为主，重点开发单元</w:t>
            </w:r>
          </w:p>
        </w:tc>
        <w:tc>
          <w:tcPr>
            <w:tcW w:w="1787" w:type="pct"/>
            <w:noWrap w:val="0"/>
            <w:vAlign w:val="center"/>
          </w:tcPr>
          <w:p w14:paraId="5E67F532">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控制产业类型和建设强度，结合产业特点设置允许建设与生产相关的配套设施。</w:t>
            </w:r>
          </w:p>
        </w:tc>
      </w:tr>
      <w:tr w14:paraId="2EC4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3" w:type="pct"/>
            <w:noWrap w:val="0"/>
            <w:vAlign w:val="center"/>
          </w:tcPr>
          <w:p w14:paraId="769F5D41">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一般单元</w:t>
            </w:r>
          </w:p>
        </w:tc>
        <w:tc>
          <w:tcPr>
            <w:tcW w:w="1180" w:type="pct"/>
            <w:noWrap w:val="0"/>
            <w:vAlign w:val="center"/>
          </w:tcPr>
          <w:p w14:paraId="4733FB72">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滨河东路以东，正阳线以南，广泰东街以北</w:t>
            </w:r>
          </w:p>
        </w:tc>
        <w:tc>
          <w:tcPr>
            <w:tcW w:w="595" w:type="pct"/>
            <w:noWrap w:val="0"/>
            <w:vAlign w:val="center"/>
          </w:tcPr>
          <w:p w14:paraId="562243F5">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p>
        </w:tc>
        <w:tc>
          <w:tcPr>
            <w:tcW w:w="953" w:type="pct"/>
            <w:noWrap w:val="0"/>
            <w:vAlign w:val="center"/>
          </w:tcPr>
          <w:p w14:paraId="58C91381">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居住功能</w:t>
            </w:r>
          </w:p>
          <w:p w14:paraId="40AC843B">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综合服务功能</w:t>
            </w:r>
          </w:p>
        </w:tc>
        <w:tc>
          <w:tcPr>
            <w:tcW w:w="1787" w:type="pct"/>
            <w:noWrap w:val="0"/>
            <w:vAlign w:val="center"/>
          </w:tcPr>
          <w:p w14:paraId="5306A33B">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控制人口和建设规模，中等强度开发，各项设施覆盖满足半径要求。</w:t>
            </w:r>
          </w:p>
        </w:tc>
      </w:tr>
      <w:tr w14:paraId="7169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3" w:type="pct"/>
            <w:noWrap w:val="0"/>
            <w:vAlign w:val="center"/>
          </w:tcPr>
          <w:p w14:paraId="363E3E9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一般单元</w:t>
            </w:r>
          </w:p>
        </w:tc>
        <w:tc>
          <w:tcPr>
            <w:tcW w:w="1180" w:type="pct"/>
            <w:noWrap w:val="0"/>
            <w:vAlign w:val="center"/>
          </w:tcPr>
          <w:p w14:paraId="13CB8196">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滨河东路以东，广泰东街以南</w:t>
            </w:r>
          </w:p>
        </w:tc>
        <w:tc>
          <w:tcPr>
            <w:tcW w:w="595" w:type="pct"/>
            <w:noWrap w:val="0"/>
            <w:vAlign w:val="center"/>
          </w:tcPr>
          <w:p w14:paraId="335BBBEE">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p>
        </w:tc>
        <w:tc>
          <w:tcPr>
            <w:tcW w:w="953" w:type="pct"/>
            <w:noWrap w:val="0"/>
            <w:vAlign w:val="center"/>
          </w:tcPr>
          <w:p w14:paraId="63A06DF6">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居住功能</w:t>
            </w:r>
          </w:p>
          <w:p w14:paraId="2A32079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存续发展为主</w:t>
            </w:r>
          </w:p>
        </w:tc>
        <w:tc>
          <w:tcPr>
            <w:tcW w:w="1787" w:type="pct"/>
            <w:noWrap w:val="0"/>
            <w:vAlign w:val="center"/>
          </w:tcPr>
          <w:p w14:paraId="5B99436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构建完善的社区生活圈，优先考虑增补配套设施，完善各类用地的功能和职能，提升人居环境品质。</w:t>
            </w:r>
          </w:p>
        </w:tc>
      </w:tr>
      <w:tr w14:paraId="5781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3" w:type="pct"/>
            <w:noWrap w:val="0"/>
            <w:vAlign w:val="center"/>
          </w:tcPr>
          <w:p w14:paraId="1410ED41">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城乡融合单元</w:t>
            </w:r>
          </w:p>
        </w:tc>
        <w:tc>
          <w:tcPr>
            <w:tcW w:w="1180" w:type="pct"/>
            <w:noWrap w:val="0"/>
            <w:vAlign w:val="center"/>
          </w:tcPr>
          <w:p w14:paraId="1F4D9138">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滨河西路以西，广泰西街以北</w:t>
            </w:r>
          </w:p>
        </w:tc>
        <w:tc>
          <w:tcPr>
            <w:tcW w:w="595" w:type="pct"/>
            <w:noWrap w:val="0"/>
            <w:vAlign w:val="center"/>
          </w:tcPr>
          <w:p w14:paraId="36466901">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p>
        </w:tc>
        <w:tc>
          <w:tcPr>
            <w:tcW w:w="953" w:type="pct"/>
            <w:noWrap w:val="0"/>
            <w:vAlign w:val="center"/>
          </w:tcPr>
          <w:p w14:paraId="6C6F3C5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居住功能</w:t>
            </w:r>
          </w:p>
          <w:p w14:paraId="0006E9CC">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统筹配套服务</w:t>
            </w:r>
          </w:p>
        </w:tc>
        <w:tc>
          <w:tcPr>
            <w:tcW w:w="1787" w:type="pct"/>
            <w:noWrap w:val="0"/>
            <w:vAlign w:val="center"/>
          </w:tcPr>
          <w:p w14:paraId="16825178">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统筹公共服务设施配套、交通联系及产业发展，促进城乡融合发展。</w:t>
            </w:r>
          </w:p>
        </w:tc>
      </w:tr>
      <w:tr w14:paraId="0BE9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83" w:type="pct"/>
            <w:noWrap w:val="0"/>
            <w:vAlign w:val="center"/>
          </w:tcPr>
          <w:p w14:paraId="164889AA">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城乡更新单元</w:t>
            </w:r>
          </w:p>
        </w:tc>
        <w:tc>
          <w:tcPr>
            <w:tcW w:w="1180" w:type="pct"/>
            <w:noWrap w:val="0"/>
            <w:vAlign w:val="center"/>
          </w:tcPr>
          <w:p w14:paraId="56377B3D">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滨河西路以西，广泰西街以南</w:t>
            </w:r>
          </w:p>
        </w:tc>
        <w:tc>
          <w:tcPr>
            <w:tcW w:w="595" w:type="pct"/>
            <w:noWrap w:val="0"/>
            <w:vAlign w:val="center"/>
          </w:tcPr>
          <w:p w14:paraId="1A642E12">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p>
        </w:tc>
        <w:tc>
          <w:tcPr>
            <w:tcW w:w="953" w:type="pct"/>
            <w:noWrap w:val="0"/>
            <w:vAlign w:val="center"/>
          </w:tcPr>
          <w:p w14:paraId="5D4C3254">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居住功能</w:t>
            </w:r>
          </w:p>
          <w:p w14:paraId="7DE5C5B6">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综合服务功能</w:t>
            </w:r>
          </w:p>
        </w:tc>
        <w:tc>
          <w:tcPr>
            <w:tcW w:w="1787" w:type="pct"/>
            <w:noWrap w:val="0"/>
            <w:vAlign w:val="center"/>
          </w:tcPr>
          <w:p w14:paraId="6E1D70F8">
            <w:pPr>
              <w:keepNext w:val="0"/>
              <w:keepLines w:val="0"/>
              <w:pageBreakBefore w:val="0"/>
              <w:widowControl w:val="0"/>
              <w:kinsoku/>
              <w:wordWrap/>
              <w:overflowPunct/>
              <w:topLinePunct w:val="0"/>
              <w:autoSpaceDE/>
              <w:autoSpaceDN/>
              <w:bidi w:val="0"/>
              <w:adjustRightInd/>
              <w:snapToGrid/>
              <w:spacing w:line="288" w:lineRule="auto"/>
              <w:ind w:firstLine="0" w:firstLineChars="0"/>
              <w:jc w:val="center"/>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优化城市空间结构，促进转型升级，扩容升级基础设施，提升社区宜居水平，保护传承历史文化，优化公共空间格局和品质。</w:t>
            </w:r>
          </w:p>
        </w:tc>
      </w:tr>
    </w:tbl>
    <w:p w14:paraId="22DD91F4">
      <w:pPr>
        <w:pStyle w:val="3"/>
        <w:bidi w:val="0"/>
        <w:rPr>
          <w:rFonts w:hint="eastAsia"/>
        </w:rPr>
      </w:pPr>
      <w:r>
        <w:rPr>
          <w:rFonts w:hint="eastAsia"/>
          <w:lang w:val="en-US" w:eastAsia="zh-CN"/>
        </w:rPr>
        <w:t>四</w:t>
      </w:r>
      <w:r>
        <w:rPr>
          <w:rFonts w:hint="eastAsia"/>
        </w:rPr>
        <w:t>、规划结构</w:t>
      </w:r>
    </w:p>
    <w:p w14:paraId="58553E19">
      <w:pPr>
        <w:bidi w:val="0"/>
        <w:rPr>
          <w:rFonts w:hint="eastAsia"/>
          <w:lang w:val="en-US" w:eastAsia="zh-CN"/>
        </w:rPr>
      </w:pPr>
      <w:r>
        <w:rPr>
          <w:rFonts w:hint="eastAsia"/>
          <w:lang w:val="en-US" w:eastAsia="zh-CN"/>
        </w:rPr>
        <w:t>规划广灵县中心城区空间结构整体为“两心、两轴、两带、三片区”。</w:t>
      </w:r>
    </w:p>
    <w:p w14:paraId="254AAD60">
      <w:pPr>
        <w:bidi w:val="0"/>
        <w:rPr>
          <w:rFonts w:hint="eastAsia"/>
          <w:lang w:val="en-US" w:eastAsia="zh-CN"/>
        </w:rPr>
      </w:pPr>
      <w:r>
        <w:rPr>
          <w:rFonts w:hint="eastAsia"/>
          <w:lang w:val="en-US" w:eastAsia="zh-CN"/>
        </w:rPr>
        <w:t>“两心”——旧城区形成以步行街为主的综合商业服务中心以及涧东新区政务中心为主的行政服务中心。</w:t>
      </w:r>
    </w:p>
    <w:p w14:paraId="79A22FE7">
      <w:pPr>
        <w:bidi w:val="0"/>
        <w:rPr>
          <w:rFonts w:hint="eastAsia"/>
          <w:lang w:val="en-US" w:eastAsia="zh-CN"/>
        </w:rPr>
      </w:pPr>
      <w:r>
        <w:rPr>
          <w:rFonts w:hint="eastAsia"/>
          <w:lang w:val="en-US" w:eastAsia="zh-CN"/>
        </w:rPr>
        <w:t>“两轴”——广泰街的东西向城市主要发展轴：将中心城区主干道广泰街沿线科教文卫、商业等最具经济活力的要素串联起来，并连接广灵旧城区和东部新城，构成广灵县城主要发展轴；依托平舒大道构建南北向城市次要发展轴：依托涧东新区，沿平舒大道沿线形成广灵县城次要发展轴。</w:t>
      </w:r>
    </w:p>
    <w:p w14:paraId="663DE3AF">
      <w:pPr>
        <w:bidi w:val="0"/>
        <w:rPr>
          <w:rFonts w:hint="eastAsia"/>
          <w:lang w:val="en-US" w:eastAsia="zh-CN"/>
        </w:rPr>
      </w:pPr>
      <w:r>
        <w:rPr>
          <w:rFonts w:hint="eastAsia"/>
          <w:lang w:val="en-US" w:eastAsia="zh-CN"/>
        </w:rPr>
        <w:t>“两带”——以木槽涧河为基构建城市南北向滨河景观带；以壶流河为底打造城市东西向生态景观带。</w:t>
      </w:r>
    </w:p>
    <w:p w14:paraId="7A8BBB07">
      <w:pPr>
        <w:bidi w:val="0"/>
        <w:rPr>
          <w:rFonts w:hint="eastAsia"/>
          <w:lang w:val="en-US" w:eastAsia="zh-CN"/>
        </w:rPr>
      </w:pPr>
      <w:r>
        <w:rPr>
          <w:rFonts w:hint="eastAsia"/>
          <w:lang w:val="en-US" w:eastAsia="zh-CN"/>
        </w:rPr>
        <w:t>“三片区”——依托城区轴带划分中心城三片区，分别为涧东新区城市建设新高地、文旅康养商业产业集聚老城区、壶流河生态湿地区。</w:t>
      </w:r>
    </w:p>
    <w:p w14:paraId="2E0FE476">
      <w:pPr>
        <w:pStyle w:val="3"/>
        <w:bidi w:val="0"/>
        <w:rPr>
          <w:rFonts w:hint="eastAsia"/>
        </w:rPr>
      </w:pPr>
      <w:r>
        <w:rPr>
          <w:rFonts w:hint="eastAsia"/>
          <w:lang w:val="en-US" w:eastAsia="zh-CN"/>
        </w:rPr>
        <w:t>五</w:t>
      </w:r>
      <w:r>
        <w:rPr>
          <w:rFonts w:hint="eastAsia"/>
        </w:rPr>
        <w:t>、用地布局</w:t>
      </w:r>
    </w:p>
    <w:p w14:paraId="7A8C9DC3">
      <w:pPr>
        <w:bidi w:val="0"/>
        <w:rPr>
          <w:rFonts w:hint="eastAsia"/>
        </w:rPr>
      </w:pPr>
      <w:r>
        <w:rPr>
          <w:rFonts w:hint="eastAsia"/>
        </w:rPr>
        <w:t>规划用地分类参照《国土空间调查、规划、用途管制用地用海分类指南（2023）》，划分以二级类为主，三级类为辅。规划建设用地主要由居住用地、公共管理与公共服务用地、</w:t>
      </w:r>
      <w:r>
        <w:rPr>
          <w:rFonts w:hint="eastAsia"/>
          <w:lang w:val="en-US" w:eastAsia="zh-CN"/>
        </w:rPr>
        <w:t>商业用地、</w:t>
      </w:r>
      <w:r>
        <w:rPr>
          <w:rFonts w:hint="eastAsia"/>
        </w:rPr>
        <w:t>交通运输用地、绿地与开敞空间用地四大类用地组成。</w:t>
      </w:r>
    </w:p>
    <w:p w14:paraId="46EB7D0A">
      <w:pPr>
        <w:spacing w:line="420" w:lineRule="auto"/>
        <w:ind w:firstLine="560" w:firstLineChars="200"/>
        <w:rPr>
          <w:rFonts w:hint="default" w:ascii="仿宋" w:hAnsi="仿宋" w:eastAsia="仿宋" w:cs="Times New Roman"/>
          <w:b w:val="0"/>
          <w:bCs w:val="0"/>
          <w:sz w:val="28"/>
          <w:szCs w:val="28"/>
          <w:lang w:val="en-US" w:eastAsia="zh-CN"/>
        </w:rPr>
      </w:pPr>
      <w:r>
        <w:rPr>
          <w:rFonts w:hint="eastAsia" w:ascii="仿宋" w:hAnsi="仿宋" w:eastAsia="仿宋" w:cs="Times New Roman"/>
          <w:b w:val="0"/>
          <w:bCs w:val="0"/>
          <w:sz w:val="28"/>
          <w:szCs w:val="28"/>
          <w:lang w:val="en-US" w:eastAsia="zh-CN"/>
        </w:rPr>
        <w:t>规划总面积为1150.13公顷，具体用地大类分别为：</w:t>
      </w:r>
      <w:r>
        <w:rPr>
          <w:rFonts w:hint="default" w:ascii="仿宋" w:hAnsi="仿宋" w:eastAsia="仿宋" w:cs="Times New Roman"/>
          <w:b w:val="0"/>
          <w:bCs w:val="0"/>
          <w:sz w:val="28"/>
          <w:szCs w:val="28"/>
          <w:lang w:val="en-US" w:eastAsia="zh-CN"/>
        </w:rPr>
        <w:t>居住用地面积</w:t>
      </w:r>
      <w:r>
        <w:rPr>
          <w:rFonts w:hint="eastAsia" w:ascii="仿宋" w:hAnsi="仿宋" w:eastAsia="仿宋" w:cs="Times New Roman"/>
          <w:b w:val="0"/>
          <w:bCs w:val="0"/>
          <w:sz w:val="28"/>
          <w:szCs w:val="28"/>
          <w:lang w:val="en-US" w:eastAsia="zh-CN"/>
        </w:rPr>
        <w:t>442.61</w:t>
      </w:r>
      <w:r>
        <w:rPr>
          <w:rFonts w:hint="default" w:ascii="仿宋" w:hAnsi="仿宋" w:eastAsia="仿宋" w:cs="Times New Roman"/>
          <w:b w:val="0"/>
          <w:bCs w:val="0"/>
          <w:sz w:val="28"/>
          <w:szCs w:val="28"/>
          <w:lang w:val="en-US" w:eastAsia="zh-CN"/>
        </w:rPr>
        <w:t>公顷，占开发边界范围总量的</w:t>
      </w:r>
      <w:r>
        <w:rPr>
          <w:rFonts w:hint="eastAsia" w:ascii="仿宋" w:hAnsi="仿宋" w:eastAsia="仿宋" w:cs="Times New Roman"/>
          <w:b w:val="0"/>
          <w:bCs w:val="0"/>
          <w:sz w:val="28"/>
          <w:szCs w:val="28"/>
          <w:lang w:val="en-US" w:eastAsia="zh-CN"/>
        </w:rPr>
        <w:t>38.48</w:t>
      </w:r>
      <w:r>
        <w:rPr>
          <w:rFonts w:hint="default" w:ascii="仿宋" w:hAnsi="仿宋" w:eastAsia="仿宋" w:cs="Times New Roman"/>
          <w:b w:val="0"/>
          <w:bCs w:val="0"/>
          <w:sz w:val="28"/>
          <w:szCs w:val="28"/>
          <w:lang w:val="en-US" w:eastAsia="zh-CN"/>
        </w:rPr>
        <w:t>%；公共管理与公共服务用地面积</w:t>
      </w:r>
      <w:r>
        <w:rPr>
          <w:rFonts w:hint="eastAsia" w:ascii="仿宋" w:hAnsi="仿宋" w:eastAsia="仿宋" w:cs="Times New Roman"/>
          <w:b w:val="0"/>
          <w:bCs w:val="0"/>
          <w:sz w:val="28"/>
          <w:szCs w:val="28"/>
          <w:lang w:val="en-US" w:eastAsia="zh-CN"/>
        </w:rPr>
        <w:t>108.15</w:t>
      </w:r>
      <w:r>
        <w:rPr>
          <w:rFonts w:hint="default" w:ascii="仿宋" w:hAnsi="仿宋" w:eastAsia="仿宋" w:cs="Times New Roman"/>
          <w:b w:val="0"/>
          <w:bCs w:val="0"/>
          <w:sz w:val="28"/>
          <w:szCs w:val="28"/>
          <w:lang w:val="en-US" w:eastAsia="zh-CN"/>
        </w:rPr>
        <w:t>公顷占</w:t>
      </w:r>
      <w:r>
        <w:rPr>
          <w:rFonts w:hint="eastAsia" w:ascii="仿宋" w:hAnsi="仿宋" w:eastAsia="仿宋" w:cs="Times New Roman"/>
          <w:b w:val="0"/>
          <w:bCs w:val="0"/>
          <w:sz w:val="28"/>
          <w:szCs w:val="28"/>
          <w:lang w:val="en-US" w:eastAsia="zh-CN"/>
        </w:rPr>
        <w:t>9.40</w:t>
      </w:r>
      <w:r>
        <w:rPr>
          <w:rFonts w:hint="default" w:ascii="仿宋" w:hAnsi="仿宋" w:eastAsia="仿宋" w:cs="Times New Roman"/>
          <w:b w:val="0"/>
          <w:bCs w:val="0"/>
          <w:sz w:val="28"/>
          <w:szCs w:val="28"/>
          <w:lang w:val="en-US" w:eastAsia="zh-CN"/>
        </w:rPr>
        <w:t>%；商业服务业用地面积为</w:t>
      </w:r>
      <w:r>
        <w:rPr>
          <w:rFonts w:hint="eastAsia" w:ascii="仿宋" w:hAnsi="仿宋" w:eastAsia="仿宋" w:cs="Times New Roman"/>
          <w:b w:val="0"/>
          <w:bCs w:val="0"/>
          <w:sz w:val="28"/>
          <w:szCs w:val="28"/>
          <w:lang w:val="en-US" w:eastAsia="zh-CN"/>
        </w:rPr>
        <w:t>129.13</w:t>
      </w:r>
      <w:r>
        <w:rPr>
          <w:rFonts w:hint="default" w:ascii="仿宋" w:hAnsi="仿宋" w:eastAsia="仿宋" w:cs="Times New Roman"/>
          <w:b w:val="0"/>
          <w:bCs w:val="0"/>
          <w:sz w:val="28"/>
          <w:szCs w:val="28"/>
          <w:lang w:val="en-US" w:eastAsia="zh-CN"/>
        </w:rPr>
        <w:t>公顷占</w:t>
      </w:r>
      <w:r>
        <w:rPr>
          <w:rFonts w:hint="eastAsia" w:ascii="仿宋" w:hAnsi="仿宋" w:eastAsia="仿宋" w:cs="Times New Roman"/>
          <w:b w:val="0"/>
          <w:bCs w:val="0"/>
          <w:sz w:val="28"/>
          <w:szCs w:val="28"/>
          <w:lang w:val="en-US" w:eastAsia="zh-CN"/>
        </w:rPr>
        <w:t>11.23</w:t>
      </w:r>
      <w:r>
        <w:rPr>
          <w:rFonts w:hint="default" w:ascii="仿宋" w:hAnsi="仿宋" w:eastAsia="仿宋" w:cs="Times New Roman"/>
          <w:b w:val="0"/>
          <w:bCs w:val="0"/>
          <w:sz w:val="28"/>
          <w:szCs w:val="28"/>
          <w:lang w:val="en-US" w:eastAsia="zh-CN"/>
        </w:rPr>
        <w:t>%；工矿用地面积</w:t>
      </w:r>
      <w:r>
        <w:rPr>
          <w:rFonts w:hint="eastAsia" w:ascii="仿宋" w:hAnsi="仿宋" w:eastAsia="仿宋" w:cs="Times New Roman"/>
          <w:b w:val="0"/>
          <w:bCs w:val="0"/>
          <w:sz w:val="28"/>
          <w:szCs w:val="28"/>
          <w:lang w:val="en-US" w:eastAsia="zh-CN"/>
        </w:rPr>
        <w:t>81.99</w:t>
      </w:r>
      <w:r>
        <w:rPr>
          <w:rFonts w:hint="default" w:ascii="仿宋" w:hAnsi="仿宋" w:eastAsia="仿宋" w:cs="Times New Roman"/>
          <w:b w:val="0"/>
          <w:bCs w:val="0"/>
          <w:sz w:val="28"/>
          <w:szCs w:val="28"/>
          <w:lang w:val="en-US" w:eastAsia="zh-CN"/>
        </w:rPr>
        <w:t>公顷占</w:t>
      </w:r>
      <w:r>
        <w:rPr>
          <w:rFonts w:hint="eastAsia" w:ascii="仿宋" w:hAnsi="仿宋" w:eastAsia="仿宋" w:cs="Times New Roman"/>
          <w:b w:val="0"/>
          <w:bCs w:val="0"/>
          <w:sz w:val="28"/>
          <w:szCs w:val="28"/>
          <w:lang w:val="en-US" w:eastAsia="zh-CN"/>
        </w:rPr>
        <w:t>7.13</w:t>
      </w:r>
      <w:r>
        <w:rPr>
          <w:rFonts w:hint="default" w:ascii="仿宋" w:hAnsi="仿宋" w:eastAsia="仿宋" w:cs="Times New Roman"/>
          <w:b w:val="0"/>
          <w:bCs w:val="0"/>
          <w:sz w:val="28"/>
          <w:szCs w:val="28"/>
          <w:lang w:val="en-US" w:eastAsia="zh-CN"/>
        </w:rPr>
        <w:t>%；物流仓储用地面积44.</w:t>
      </w:r>
      <w:r>
        <w:rPr>
          <w:rFonts w:hint="eastAsia" w:ascii="仿宋" w:hAnsi="仿宋" w:eastAsia="仿宋" w:cs="Times New Roman"/>
          <w:b w:val="0"/>
          <w:bCs w:val="0"/>
          <w:sz w:val="28"/>
          <w:szCs w:val="28"/>
          <w:lang w:val="en-US" w:eastAsia="zh-CN"/>
        </w:rPr>
        <w:t>53</w:t>
      </w:r>
      <w:r>
        <w:rPr>
          <w:rFonts w:hint="default" w:ascii="仿宋" w:hAnsi="仿宋" w:eastAsia="仿宋" w:cs="Times New Roman"/>
          <w:b w:val="0"/>
          <w:bCs w:val="0"/>
          <w:sz w:val="28"/>
          <w:szCs w:val="28"/>
          <w:lang w:val="en-US" w:eastAsia="zh-CN"/>
        </w:rPr>
        <w:t>公顷占3.8</w:t>
      </w:r>
      <w:r>
        <w:rPr>
          <w:rFonts w:hint="eastAsia" w:ascii="仿宋" w:hAnsi="仿宋" w:eastAsia="仿宋" w:cs="Times New Roman"/>
          <w:b w:val="0"/>
          <w:bCs w:val="0"/>
          <w:sz w:val="28"/>
          <w:szCs w:val="28"/>
          <w:lang w:val="en-US" w:eastAsia="zh-CN"/>
        </w:rPr>
        <w:t>7</w:t>
      </w:r>
      <w:r>
        <w:rPr>
          <w:rFonts w:hint="default" w:ascii="仿宋" w:hAnsi="仿宋" w:eastAsia="仿宋" w:cs="Times New Roman"/>
          <w:b w:val="0"/>
          <w:bCs w:val="0"/>
          <w:sz w:val="28"/>
          <w:szCs w:val="28"/>
          <w:lang w:val="en-US" w:eastAsia="zh-CN"/>
        </w:rPr>
        <w:t>%，交通运输用地面积</w:t>
      </w:r>
      <w:r>
        <w:rPr>
          <w:rFonts w:hint="eastAsia" w:ascii="仿宋" w:hAnsi="仿宋" w:eastAsia="仿宋" w:cs="Times New Roman"/>
          <w:b w:val="0"/>
          <w:bCs w:val="0"/>
          <w:sz w:val="28"/>
          <w:szCs w:val="28"/>
          <w:lang w:val="en-US" w:eastAsia="zh-CN"/>
        </w:rPr>
        <w:t>164.08</w:t>
      </w:r>
      <w:r>
        <w:rPr>
          <w:rFonts w:hint="default" w:ascii="仿宋" w:hAnsi="仿宋" w:eastAsia="仿宋" w:cs="Times New Roman"/>
          <w:b w:val="0"/>
          <w:bCs w:val="0"/>
          <w:sz w:val="28"/>
          <w:szCs w:val="28"/>
          <w:lang w:val="en-US" w:eastAsia="zh-CN"/>
        </w:rPr>
        <w:t>公顷占14.</w:t>
      </w:r>
      <w:r>
        <w:rPr>
          <w:rFonts w:hint="eastAsia" w:ascii="仿宋" w:hAnsi="仿宋" w:eastAsia="仿宋" w:cs="Times New Roman"/>
          <w:b w:val="0"/>
          <w:bCs w:val="0"/>
          <w:sz w:val="28"/>
          <w:szCs w:val="28"/>
          <w:lang w:val="en-US" w:eastAsia="zh-CN"/>
        </w:rPr>
        <w:t>27</w:t>
      </w:r>
      <w:r>
        <w:rPr>
          <w:rFonts w:hint="default" w:ascii="仿宋" w:hAnsi="仿宋" w:eastAsia="仿宋" w:cs="Times New Roman"/>
          <w:b w:val="0"/>
          <w:bCs w:val="0"/>
          <w:sz w:val="28"/>
          <w:szCs w:val="28"/>
          <w:lang w:val="en-US" w:eastAsia="zh-CN"/>
        </w:rPr>
        <w:t>%；公用设施用地面积</w:t>
      </w:r>
      <w:r>
        <w:rPr>
          <w:rFonts w:hint="eastAsia" w:ascii="仿宋" w:hAnsi="仿宋" w:eastAsia="仿宋" w:cs="Times New Roman"/>
          <w:b w:val="0"/>
          <w:bCs w:val="0"/>
          <w:sz w:val="28"/>
          <w:szCs w:val="28"/>
          <w:lang w:val="en-US" w:eastAsia="zh-CN"/>
        </w:rPr>
        <w:t>16.50</w:t>
      </w:r>
      <w:r>
        <w:rPr>
          <w:rFonts w:hint="default" w:ascii="仿宋" w:hAnsi="仿宋" w:eastAsia="仿宋" w:cs="Times New Roman"/>
          <w:b w:val="0"/>
          <w:bCs w:val="0"/>
          <w:sz w:val="28"/>
          <w:szCs w:val="28"/>
          <w:lang w:val="en-US" w:eastAsia="zh-CN"/>
        </w:rPr>
        <w:t>公顷占1.</w:t>
      </w:r>
      <w:r>
        <w:rPr>
          <w:rFonts w:hint="eastAsia" w:ascii="仿宋" w:hAnsi="仿宋" w:eastAsia="仿宋" w:cs="Times New Roman"/>
          <w:b w:val="0"/>
          <w:bCs w:val="0"/>
          <w:sz w:val="28"/>
          <w:szCs w:val="28"/>
          <w:lang w:val="en-US" w:eastAsia="zh-CN"/>
        </w:rPr>
        <w:t>43</w:t>
      </w:r>
      <w:r>
        <w:rPr>
          <w:rFonts w:hint="default" w:ascii="仿宋" w:hAnsi="仿宋" w:eastAsia="仿宋" w:cs="Times New Roman"/>
          <w:b w:val="0"/>
          <w:bCs w:val="0"/>
          <w:sz w:val="28"/>
          <w:szCs w:val="28"/>
          <w:lang w:val="en-US" w:eastAsia="zh-CN"/>
        </w:rPr>
        <w:t>%；绿地与开敞空间用地面积</w:t>
      </w:r>
      <w:r>
        <w:rPr>
          <w:rFonts w:hint="eastAsia" w:ascii="仿宋" w:hAnsi="仿宋" w:eastAsia="仿宋" w:cs="Times New Roman"/>
          <w:b w:val="0"/>
          <w:bCs w:val="0"/>
          <w:sz w:val="28"/>
          <w:szCs w:val="28"/>
          <w:lang w:val="en-US" w:eastAsia="zh-CN"/>
        </w:rPr>
        <w:t>138.23</w:t>
      </w:r>
      <w:r>
        <w:rPr>
          <w:rFonts w:hint="default" w:ascii="仿宋" w:hAnsi="仿宋" w:eastAsia="仿宋" w:cs="Times New Roman"/>
          <w:b w:val="0"/>
          <w:bCs w:val="0"/>
          <w:sz w:val="28"/>
          <w:szCs w:val="28"/>
          <w:lang w:val="en-US" w:eastAsia="zh-CN"/>
        </w:rPr>
        <w:t>公顷占</w:t>
      </w:r>
      <w:r>
        <w:rPr>
          <w:rFonts w:hint="eastAsia" w:ascii="仿宋" w:hAnsi="仿宋" w:eastAsia="仿宋" w:cs="Times New Roman"/>
          <w:b w:val="0"/>
          <w:bCs w:val="0"/>
          <w:sz w:val="28"/>
          <w:szCs w:val="28"/>
          <w:lang w:val="en-US" w:eastAsia="zh-CN"/>
        </w:rPr>
        <w:t>12.02</w:t>
      </w:r>
      <w:r>
        <w:rPr>
          <w:rFonts w:hint="default" w:ascii="仿宋" w:hAnsi="仿宋" w:eastAsia="仿宋" w:cs="Times New Roman"/>
          <w:b w:val="0"/>
          <w:bCs w:val="0"/>
          <w:sz w:val="28"/>
          <w:szCs w:val="28"/>
          <w:lang w:val="en-US" w:eastAsia="zh-CN"/>
        </w:rPr>
        <w:t>%；特殊用地</w:t>
      </w:r>
      <w:r>
        <w:rPr>
          <w:rFonts w:hint="eastAsia" w:ascii="仿宋" w:hAnsi="仿宋" w:eastAsia="仿宋" w:cs="Times New Roman"/>
          <w:b w:val="0"/>
          <w:bCs w:val="0"/>
          <w:sz w:val="28"/>
          <w:szCs w:val="28"/>
          <w:lang w:val="en-US" w:eastAsia="zh-CN"/>
        </w:rPr>
        <w:t>5.70</w:t>
      </w:r>
      <w:r>
        <w:rPr>
          <w:rFonts w:hint="default" w:ascii="仿宋" w:hAnsi="仿宋" w:eastAsia="仿宋" w:cs="Times New Roman"/>
          <w:b w:val="0"/>
          <w:bCs w:val="0"/>
          <w:sz w:val="28"/>
          <w:szCs w:val="28"/>
          <w:lang w:val="en-US" w:eastAsia="zh-CN"/>
        </w:rPr>
        <w:t>公顷占0.</w:t>
      </w:r>
      <w:r>
        <w:rPr>
          <w:rFonts w:hint="eastAsia" w:ascii="仿宋" w:hAnsi="仿宋" w:eastAsia="仿宋" w:cs="Times New Roman"/>
          <w:b w:val="0"/>
          <w:bCs w:val="0"/>
          <w:sz w:val="28"/>
          <w:szCs w:val="28"/>
          <w:lang w:val="en-US" w:eastAsia="zh-CN"/>
        </w:rPr>
        <w:t>50</w:t>
      </w:r>
      <w:r>
        <w:rPr>
          <w:rFonts w:hint="default" w:ascii="仿宋" w:hAnsi="仿宋" w:eastAsia="仿宋" w:cs="Times New Roman"/>
          <w:b w:val="0"/>
          <w:bCs w:val="0"/>
          <w:sz w:val="28"/>
          <w:szCs w:val="28"/>
          <w:lang w:val="en-US" w:eastAsia="zh-CN"/>
        </w:rPr>
        <w:t>%，留白用地为</w:t>
      </w:r>
      <w:r>
        <w:rPr>
          <w:rFonts w:hint="eastAsia" w:ascii="仿宋" w:hAnsi="仿宋" w:eastAsia="仿宋" w:cs="Times New Roman"/>
          <w:b w:val="0"/>
          <w:bCs w:val="0"/>
          <w:sz w:val="28"/>
          <w:szCs w:val="28"/>
          <w:lang w:val="en-US" w:eastAsia="zh-CN"/>
        </w:rPr>
        <w:t>11.02</w:t>
      </w:r>
      <w:r>
        <w:rPr>
          <w:rFonts w:hint="default" w:ascii="仿宋" w:hAnsi="仿宋" w:eastAsia="仿宋" w:cs="Times New Roman"/>
          <w:b w:val="0"/>
          <w:bCs w:val="0"/>
          <w:sz w:val="28"/>
          <w:szCs w:val="28"/>
          <w:lang w:val="en-US" w:eastAsia="zh-CN"/>
        </w:rPr>
        <w:t>公顷占0.9</w:t>
      </w:r>
      <w:r>
        <w:rPr>
          <w:rFonts w:hint="eastAsia" w:ascii="仿宋" w:hAnsi="仿宋" w:eastAsia="仿宋" w:cs="Times New Roman"/>
          <w:b w:val="0"/>
          <w:bCs w:val="0"/>
          <w:sz w:val="28"/>
          <w:szCs w:val="28"/>
          <w:lang w:val="en-US" w:eastAsia="zh-CN"/>
        </w:rPr>
        <w:t>6</w:t>
      </w:r>
      <w:r>
        <w:rPr>
          <w:rFonts w:hint="default" w:ascii="仿宋" w:hAnsi="仿宋" w:eastAsia="仿宋" w:cs="Times New Roman"/>
          <w:b w:val="0"/>
          <w:bCs w:val="0"/>
          <w:sz w:val="28"/>
          <w:szCs w:val="28"/>
          <w:lang w:val="en-US" w:eastAsia="zh-CN"/>
        </w:rPr>
        <w:t>%；河流水面用地（特别用途区）8.19公顷占0.71%。</w:t>
      </w:r>
    </w:p>
    <w:p w14:paraId="4EFF0AD7">
      <w:pPr>
        <w:bidi w:val="0"/>
        <w:rPr>
          <w:rFonts w:hint="eastAsia"/>
          <w:b/>
          <w:bCs/>
          <w:lang w:val="en-US" w:eastAsia="zh-CN"/>
        </w:rPr>
      </w:pPr>
      <w:r>
        <w:rPr>
          <w:rFonts w:hint="eastAsia"/>
          <w:b/>
          <w:bCs/>
          <w:lang w:val="en-US" w:eastAsia="zh-CN"/>
        </w:rPr>
        <w:t>（一）居住用地规划</w:t>
      </w:r>
    </w:p>
    <w:p w14:paraId="2ECC7FD5">
      <w:pPr>
        <w:bidi w:val="0"/>
        <w:rPr>
          <w:rFonts w:hint="eastAsia"/>
          <w:lang w:val="en-US" w:eastAsia="zh-CN"/>
        </w:rPr>
      </w:pPr>
      <w:r>
        <w:rPr>
          <w:rFonts w:hint="eastAsia"/>
          <w:lang w:val="en-US" w:eastAsia="zh-CN"/>
        </w:rPr>
        <w:t>中心城区的居住用地布局是城市规划中的重要组成部分，它关系到居民的生活质量和城市的可持续发展。</w:t>
      </w:r>
    </w:p>
    <w:p w14:paraId="7D633DC0">
      <w:pPr>
        <w:bidi w:val="0"/>
        <w:rPr>
          <w:rFonts w:hint="eastAsia"/>
          <w:lang w:val="en-US" w:eastAsia="zh-CN"/>
        </w:rPr>
      </w:pPr>
      <w:r>
        <w:rPr>
          <w:rFonts w:hint="eastAsia"/>
          <w:lang w:val="en-US" w:eastAsia="zh-CN"/>
        </w:rPr>
        <w:t>中心城区居住用地整体建设思路开发控制强度为涧东新区适当提高，2.0—2.5容积率，建筑高度整体控制在80米一下，北侧建筑适当放宽限高范围，南侧紧邻壶流河区域适当降低其建设高度，整体限高在30米；老城片区永安街北侧区域结合城区拆建比可适当提升其地块开发建设强度，在1.5—2.3范围，高度建议控制在54米以下，县城西侧紧邻201省道门户区域，可适当提高地块开发强度，在1.5—2.3范围，高度建议控制在54米以下，永安街南侧紧邻壶流河湿地区区域，整体属于县城南侧中心区域，建议住宅用地开发强度适当降低，在1.2—1.5之间，建筑高度控制在12—18米。</w:t>
      </w:r>
    </w:p>
    <w:p w14:paraId="1B9343FF">
      <w:pPr>
        <w:bidi w:val="0"/>
        <w:rPr>
          <w:rFonts w:hint="eastAsia"/>
          <w:b/>
          <w:bCs/>
          <w:lang w:val="en-US" w:eastAsia="zh-CN"/>
        </w:rPr>
      </w:pPr>
      <w:r>
        <w:rPr>
          <w:rFonts w:hint="eastAsia"/>
          <w:b/>
          <w:bCs/>
          <w:lang w:val="en-US" w:eastAsia="zh-CN"/>
        </w:rPr>
        <w:t>（二）公共服务设施规划</w:t>
      </w:r>
    </w:p>
    <w:p w14:paraId="7D22A395">
      <w:pPr>
        <w:bidi w:val="0"/>
        <w:rPr>
          <w:rFonts w:hint="default"/>
          <w:lang w:val="en-US" w:eastAsia="zh-CN"/>
        </w:rPr>
      </w:pPr>
      <w:r>
        <w:rPr>
          <w:rFonts w:hint="default" w:ascii="仿宋" w:hAnsi="仿宋" w:eastAsia="仿宋" w:cs="Times New Roman"/>
          <w:b w:val="0"/>
          <w:bCs w:val="0"/>
          <w:szCs w:val="28"/>
          <w:lang w:val="en-US" w:eastAsia="zh-CN"/>
        </w:rPr>
        <w:t>规划公共管理与公共服务用地</w:t>
      </w:r>
      <w:r>
        <w:rPr>
          <w:rFonts w:hint="eastAsia" w:ascii="仿宋" w:hAnsi="仿宋" w:eastAsia="仿宋" w:cs="Times New Roman"/>
          <w:b w:val="0"/>
          <w:bCs w:val="0"/>
          <w:szCs w:val="28"/>
          <w:lang w:val="en-US" w:eastAsia="zh-CN"/>
        </w:rPr>
        <w:t>95.94</w:t>
      </w:r>
      <w:r>
        <w:rPr>
          <w:rFonts w:hint="default" w:ascii="仿宋" w:hAnsi="仿宋" w:eastAsia="仿宋" w:cs="Times New Roman"/>
          <w:b w:val="0"/>
          <w:bCs w:val="0"/>
          <w:szCs w:val="28"/>
          <w:lang w:val="en-US" w:eastAsia="zh-CN"/>
        </w:rPr>
        <w:t>公顷，占中心城区建设用地总</w:t>
      </w:r>
      <w:r>
        <w:rPr>
          <w:rFonts w:hint="default"/>
          <w:lang w:val="en-US" w:eastAsia="zh-CN"/>
        </w:rPr>
        <w:t>面积的</w:t>
      </w:r>
      <w:r>
        <w:rPr>
          <w:rFonts w:hint="eastAsia"/>
          <w:lang w:val="en-US" w:eastAsia="zh-CN"/>
        </w:rPr>
        <w:t>8.34</w:t>
      </w:r>
      <w:r>
        <w:rPr>
          <w:rFonts w:hint="default"/>
          <w:lang w:val="en-US" w:eastAsia="zh-CN"/>
        </w:rPr>
        <w:t>%。</w:t>
      </w:r>
    </w:p>
    <w:p w14:paraId="390EB45D">
      <w:pPr>
        <w:bidi w:val="0"/>
        <w:rPr>
          <w:rFonts w:hint="default"/>
          <w:lang w:val="en-US" w:eastAsia="zh-CN"/>
        </w:rPr>
      </w:pPr>
      <w:r>
        <w:rPr>
          <w:rFonts w:hint="eastAsia"/>
          <w:lang w:val="en-US" w:eastAsia="zh-CN"/>
        </w:rPr>
        <w:t>1、</w:t>
      </w:r>
      <w:r>
        <w:rPr>
          <w:rFonts w:hint="default"/>
          <w:lang w:val="en-US" w:eastAsia="zh-CN"/>
        </w:rPr>
        <w:t>机关团体用地</w:t>
      </w:r>
    </w:p>
    <w:p w14:paraId="2BBEFF0C">
      <w:pPr>
        <w:bidi w:val="0"/>
      </w:pPr>
      <w:r>
        <w:rPr>
          <w:rFonts w:hint="default"/>
          <w:lang w:val="en-US" w:eastAsia="zh-CN"/>
        </w:rPr>
        <w:t>机关团体用地</w:t>
      </w:r>
      <w:r>
        <w:rPr>
          <w:rFonts w:hint="eastAsia"/>
          <w:lang w:val="en-US" w:eastAsia="zh-CN"/>
        </w:rPr>
        <w:t>规划</w:t>
      </w:r>
      <w:r>
        <w:rPr>
          <w:rFonts w:hint="default"/>
          <w:lang w:val="en-US" w:eastAsia="zh-CN"/>
        </w:rPr>
        <w:t>主要在</w:t>
      </w:r>
      <w:r>
        <w:rPr>
          <w:rFonts w:hint="eastAsia"/>
          <w:lang w:val="en-US" w:eastAsia="zh-CN"/>
        </w:rPr>
        <w:t>沿广泰路沿线及</w:t>
      </w:r>
      <w:r>
        <w:rPr>
          <w:rFonts w:hint="default"/>
          <w:lang w:val="en-US" w:eastAsia="zh-CN"/>
        </w:rPr>
        <w:t>木槽涧河以东地区，县级机关尽可能集中办公，以便节约用地。</w:t>
      </w:r>
    </w:p>
    <w:p w14:paraId="74E616CF">
      <w:pPr>
        <w:numPr>
          <w:ilvl w:val="0"/>
          <w:numId w:val="1"/>
        </w:numPr>
        <w:bidi w:val="0"/>
        <w:rPr>
          <w:rFonts w:hint="default"/>
          <w:lang w:val="en-US" w:eastAsia="zh-CN"/>
        </w:rPr>
      </w:pPr>
      <w:r>
        <w:rPr>
          <w:rFonts w:hint="default"/>
          <w:lang w:val="en-US" w:eastAsia="zh-CN"/>
        </w:rPr>
        <w:t>文化用地</w:t>
      </w:r>
    </w:p>
    <w:p w14:paraId="756A5B63">
      <w:pPr>
        <w:bidi w:val="0"/>
      </w:pPr>
      <w:r>
        <w:rPr>
          <w:rFonts w:hint="default"/>
          <w:lang w:val="en-US" w:eastAsia="zh-CN"/>
        </w:rPr>
        <w:t>文化设施应按照县级、区级和社区级文化服务三级进行建设。规划保留部分原有文娱设施以保证旧城区公共文化设施的分布均衡；各社区级文化中心按照国家规范要求和居住区规划相关规定配置相应的文化设施，满足居民日常活动需求。</w:t>
      </w:r>
    </w:p>
    <w:p w14:paraId="082A2751">
      <w:pPr>
        <w:numPr>
          <w:ilvl w:val="0"/>
          <w:numId w:val="2"/>
        </w:numPr>
        <w:bidi w:val="0"/>
        <w:rPr>
          <w:rFonts w:hint="default"/>
          <w:lang w:val="en-US" w:eastAsia="zh-CN"/>
        </w:rPr>
      </w:pPr>
      <w:r>
        <w:rPr>
          <w:rFonts w:hint="default"/>
          <w:lang w:val="en-US" w:eastAsia="zh-CN"/>
        </w:rPr>
        <w:t>教育用地</w:t>
      </w:r>
    </w:p>
    <w:p w14:paraId="7B25AB8B">
      <w:pPr>
        <w:bidi w:val="0"/>
      </w:pPr>
      <w:r>
        <w:rPr>
          <w:rFonts w:hint="default"/>
          <w:lang w:val="en-US" w:eastAsia="zh-CN"/>
        </w:rPr>
        <w:t>规划教育用地面积为</w:t>
      </w:r>
      <w:r>
        <w:rPr>
          <w:rFonts w:hint="eastAsia"/>
          <w:lang w:val="en-US" w:eastAsia="zh-CN"/>
        </w:rPr>
        <w:t>41.52</w:t>
      </w:r>
      <w:r>
        <w:rPr>
          <w:rFonts w:hint="default"/>
          <w:lang w:val="en-US" w:eastAsia="zh-CN"/>
        </w:rPr>
        <w:t>公顷，老城区教育设施基本上予以保留，在用地边界范围上结合老城区拆迁改造，适度拓展，对其出入口位置进行优化，壶泉一小、广灵三中主出入口随着北侧道路的实施设置到北侧，进而降低广泰路的交通出行压力；新区结合教育设施建设布局要求，中、小学校的布局应综合考虑就近上学和办学规模的双重需求，保证各类教育科研设施适宜的用地规模，提供良好的教育教学环境。</w:t>
      </w:r>
    </w:p>
    <w:p w14:paraId="4AF7B62C">
      <w:pPr>
        <w:bidi w:val="0"/>
        <w:rPr>
          <w:rFonts w:hint="default"/>
          <w:lang w:val="en-US" w:eastAsia="zh-CN"/>
        </w:rPr>
      </w:pPr>
      <w:r>
        <w:rPr>
          <w:rFonts w:hint="eastAsia"/>
          <w:lang w:val="en-US" w:eastAsia="zh-CN"/>
        </w:rPr>
        <w:t>4、</w:t>
      </w:r>
      <w:r>
        <w:rPr>
          <w:rFonts w:hint="default"/>
          <w:lang w:val="en-US" w:eastAsia="zh-CN"/>
        </w:rPr>
        <w:t>体育设施</w:t>
      </w:r>
    </w:p>
    <w:p w14:paraId="66B11372">
      <w:pPr>
        <w:bidi w:val="0"/>
      </w:pPr>
      <w:r>
        <w:rPr>
          <w:rFonts w:hint="default"/>
          <w:lang w:val="en-US" w:eastAsia="zh-CN"/>
        </w:rPr>
        <w:t>体育用地规划面积为6.</w:t>
      </w:r>
      <w:r>
        <w:rPr>
          <w:rFonts w:hint="eastAsia"/>
          <w:lang w:val="en-US" w:eastAsia="zh-CN"/>
        </w:rPr>
        <w:t>66</w:t>
      </w:r>
      <w:r>
        <w:rPr>
          <w:rFonts w:hint="default"/>
          <w:lang w:val="en-US" w:eastAsia="zh-CN"/>
        </w:rPr>
        <w:t>公顷，体育设施应按照“县级－区级－社区级”三级进行配置，规划完善中心城区原有的各中、小学的体育设施，兼为周围居民服务；老城区结合公园绿地、休闲广场等开敞设施修建社区级体育休闲设施，同时规划在老城区南侧依现状空闲地修建全民健身中心；涧东新区可结合新建体育场设施作为广灵县重要的县级体育活动中心，</w:t>
      </w:r>
    </w:p>
    <w:p w14:paraId="72D065AB">
      <w:pPr>
        <w:bidi w:val="0"/>
        <w:rPr>
          <w:rFonts w:hint="default"/>
          <w:lang w:val="en-US" w:eastAsia="zh-CN"/>
        </w:rPr>
      </w:pPr>
      <w:r>
        <w:rPr>
          <w:rFonts w:hint="eastAsia"/>
          <w:lang w:val="en-US" w:eastAsia="zh-CN"/>
        </w:rPr>
        <w:t>5、</w:t>
      </w:r>
      <w:r>
        <w:rPr>
          <w:rFonts w:hint="default"/>
          <w:lang w:val="en-US" w:eastAsia="zh-CN"/>
        </w:rPr>
        <w:t>医疗卫生用地</w:t>
      </w:r>
    </w:p>
    <w:p w14:paraId="3AEC9F92">
      <w:pPr>
        <w:bidi w:val="0"/>
      </w:pPr>
      <w:r>
        <w:rPr>
          <w:rFonts w:hint="default"/>
          <w:lang w:val="en-US" w:eastAsia="zh-CN"/>
        </w:rPr>
        <w:t>本次规划广灵县中心城区医疗卫生用地面积为</w:t>
      </w:r>
      <w:r>
        <w:rPr>
          <w:rFonts w:hint="eastAsia"/>
          <w:lang w:val="en-US" w:eastAsia="zh-CN"/>
        </w:rPr>
        <w:t>5.83</w:t>
      </w:r>
      <w:r>
        <w:rPr>
          <w:rFonts w:hint="default"/>
          <w:lang w:val="en-US" w:eastAsia="zh-CN"/>
        </w:rPr>
        <w:t>公顷；规划要求形成综合性医院——小型专业医院——居住区小型门诊部三级配套的医疗卫生服务系统。</w:t>
      </w:r>
    </w:p>
    <w:p w14:paraId="25C22841">
      <w:pPr>
        <w:bidi w:val="0"/>
        <w:rPr>
          <w:rFonts w:hint="default"/>
          <w:lang w:val="en-US" w:eastAsia="zh-CN"/>
        </w:rPr>
      </w:pPr>
      <w:r>
        <w:rPr>
          <w:rFonts w:hint="eastAsia"/>
          <w:lang w:val="en-US" w:eastAsia="zh-CN"/>
        </w:rPr>
        <w:t>6、</w:t>
      </w:r>
      <w:r>
        <w:rPr>
          <w:rFonts w:hint="default"/>
          <w:lang w:val="en-US" w:eastAsia="zh-CN"/>
        </w:rPr>
        <w:t>社会福利用地</w:t>
      </w:r>
    </w:p>
    <w:p w14:paraId="08924DB9">
      <w:pPr>
        <w:bidi w:val="0"/>
        <w:rPr>
          <w:rFonts w:hint="default"/>
          <w:lang w:val="en-US" w:eastAsia="zh-CN"/>
        </w:rPr>
      </w:pPr>
      <w:r>
        <w:rPr>
          <w:rFonts w:hint="default"/>
          <w:lang w:val="en-US" w:eastAsia="zh-CN"/>
        </w:rPr>
        <w:t>规划面积为</w:t>
      </w:r>
      <w:r>
        <w:rPr>
          <w:rFonts w:hint="eastAsia"/>
          <w:lang w:val="en-US" w:eastAsia="zh-CN"/>
        </w:rPr>
        <w:t>1.96</w:t>
      </w:r>
      <w:r>
        <w:rPr>
          <w:rFonts w:hint="default"/>
          <w:lang w:val="en-US" w:eastAsia="zh-CN"/>
        </w:rPr>
        <w:t>公顷，位于永安东街与平舒大道交叉口东北角地块，目前已规划建设阶段。</w:t>
      </w:r>
    </w:p>
    <w:p w14:paraId="1ACBF397">
      <w:r>
        <w:rPr>
          <w:rFonts w:hint="eastAsia" w:cs="Times New Roman"/>
          <w:b/>
          <w:sz w:val="28"/>
          <w:szCs w:val="28"/>
          <w:lang w:val="en-US" w:eastAsia="zh-CN"/>
        </w:rPr>
        <w:t>（三）</w:t>
      </w:r>
      <w:r>
        <w:rPr>
          <w:rFonts w:hint="eastAsia" w:ascii="仿宋" w:hAnsi="仿宋" w:eastAsia="仿宋" w:cs="Times New Roman"/>
          <w:b/>
          <w:sz w:val="28"/>
          <w:szCs w:val="28"/>
          <w:lang w:val="en-US" w:eastAsia="zh-CN"/>
        </w:rPr>
        <w:t>商业服务业</w:t>
      </w:r>
      <w:r>
        <w:rPr>
          <w:rFonts w:hint="default" w:ascii="仿宋" w:hAnsi="仿宋" w:eastAsia="仿宋" w:cs="Times New Roman"/>
          <w:b/>
          <w:sz w:val="28"/>
          <w:szCs w:val="28"/>
          <w:lang w:val="en-US" w:eastAsia="zh-CN"/>
        </w:rPr>
        <w:t>用地规划</w:t>
      </w:r>
    </w:p>
    <w:p w14:paraId="6C24A09E">
      <w:pPr>
        <w:spacing w:line="420" w:lineRule="auto"/>
        <w:ind w:firstLine="560" w:firstLineChars="200"/>
        <w:rPr>
          <w:rFonts w:hint="eastAsia" w:ascii="仿宋" w:hAnsi="仿宋" w:eastAsia="仿宋" w:cs="Times New Roman"/>
          <w:b w:val="0"/>
          <w:bCs w:val="0"/>
          <w:sz w:val="28"/>
          <w:szCs w:val="28"/>
          <w:lang w:val="en-US" w:eastAsia="zh-CN"/>
        </w:rPr>
      </w:pPr>
      <w:r>
        <w:rPr>
          <w:rFonts w:hint="eastAsia" w:ascii="仿宋" w:hAnsi="仿宋" w:eastAsia="仿宋" w:cs="Times New Roman"/>
          <w:b w:val="0"/>
          <w:bCs w:val="0"/>
          <w:sz w:val="28"/>
          <w:szCs w:val="28"/>
          <w:lang w:val="en-US" w:eastAsia="zh-CN"/>
        </w:rPr>
        <w:t>中心城区商业服务业用地（09）主要为商业用地（0901）总面积为118.28公顷，布局主要依托广泰路、壶泉南北路、延陵路形成沿路带状商业形式，同时依托城区已建农产品批发市场（239国道南侧老城区振兴街北侧），木槽涧河以东239国道以北建设加工贸易产业园等形成专业商业集聚区，以及中心城区南侧蕙花村片区改造城南休闲、娱乐商业中心。</w:t>
      </w:r>
    </w:p>
    <w:p w14:paraId="0A4AB0A4">
      <w:r>
        <w:rPr>
          <w:rFonts w:hint="eastAsia" w:cs="Times New Roman"/>
          <w:b/>
          <w:bCs/>
          <w:lang w:val="en-US" w:eastAsia="zh-CN"/>
        </w:rPr>
        <w:t>（四）交通市政类用地规划</w:t>
      </w:r>
    </w:p>
    <w:p w14:paraId="3805DA0A">
      <w:pPr>
        <w:bidi w:val="0"/>
      </w:pPr>
      <w:r>
        <w:rPr>
          <w:rFonts w:hint="eastAsia"/>
          <w:lang w:val="en-US" w:eastAsia="zh-CN"/>
        </w:rPr>
        <w:t>1、交通运输用地规划</w:t>
      </w:r>
    </w:p>
    <w:p w14:paraId="4594DA08">
      <w:pPr>
        <w:bidi w:val="0"/>
      </w:pPr>
      <w:r>
        <w:rPr>
          <w:rFonts w:hint="eastAsia"/>
          <w:lang w:val="en-US" w:eastAsia="zh-CN"/>
        </w:rPr>
        <w:t>规划中心城区交通运输用地（12）面积为164.05公顷，主要包含城镇村道路用地（1207）与交通场站用地（1208），</w:t>
      </w:r>
    </w:p>
    <w:p w14:paraId="1DF60E58">
      <w:pPr>
        <w:bidi w:val="0"/>
        <w:rPr>
          <w:rFonts w:hint="default"/>
          <w:lang w:val="en-US" w:eastAsia="zh-CN"/>
        </w:rPr>
      </w:pPr>
      <w:r>
        <w:rPr>
          <w:rFonts w:hint="eastAsia"/>
          <w:lang w:val="en-US" w:eastAsia="zh-CN"/>
        </w:rPr>
        <w:t>2、公用设施用地规划</w:t>
      </w:r>
    </w:p>
    <w:p w14:paraId="61D04B62">
      <w:pPr>
        <w:bidi w:val="0"/>
        <w:rPr>
          <w:rFonts w:hint="default"/>
          <w:lang w:val="en-US" w:eastAsia="zh-CN"/>
        </w:rPr>
      </w:pPr>
      <w:r>
        <w:rPr>
          <w:rFonts w:hint="eastAsia"/>
          <w:lang w:val="en-US" w:eastAsia="zh-CN"/>
        </w:rPr>
        <w:t>规划中心城区公用设施用地（13）面积为16.50公顷，主要包括供电用地（1303）面积6.19公顷，供热用地（1305）面积7.64公顷，通信用地（1306）面积0.60公顷，广播电视设施用地（1308）面积0.32公顷，消防用地（1310）面积为1.75公顷。</w:t>
      </w:r>
    </w:p>
    <w:p w14:paraId="526A06B5">
      <w:r>
        <w:rPr>
          <w:rFonts w:hint="eastAsia" w:cs="Times New Roman"/>
          <w:b/>
          <w:bCs/>
          <w:lang w:val="en-US" w:eastAsia="zh-CN"/>
        </w:rPr>
        <w:t>（五）绿地与开敞空间用地规划</w:t>
      </w:r>
    </w:p>
    <w:p w14:paraId="1925A766">
      <w:pPr>
        <w:spacing w:line="420" w:lineRule="auto"/>
        <w:ind w:firstLine="560" w:firstLineChars="200"/>
        <w:rPr>
          <w:rFonts w:hint="eastAsia" w:ascii="仿宋" w:hAnsi="仿宋" w:eastAsia="仿宋" w:cs="Times New Roman"/>
          <w:b w:val="0"/>
          <w:bCs w:val="0"/>
          <w:sz w:val="28"/>
          <w:szCs w:val="28"/>
          <w:lang w:val="en-US" w:eastAsia="zh-CN"/>
        </w:rPr>
      </w:pPr>
      <w:r>
        <w:rPr>
          <w:rFonts w:hint="eastAsia" w:ascii="仿宋" w:hAnsi="仿宋" w:eastAsia="仿宋" w:cs="Times New Roman"/>
          <w:b w:val="0"/>
          <w:bCs w:val="0"/>
          <w:sz w:val="28"/>
          <w:szCs w:val="28"/>
          <w:lang w:val="en-US" w:eastAsia="zh-CN"/>
        </w:rPr>
        <w:t>规划中心城区绿地与开敞空间用地（14）总面积为140.58公顷，主要包含公园绿地（1401）、防护绿地（1402）以及广场用地（1403）。</w:t>
      </w:r>
    </w:p>
    <w:p w14:paraId="034CCB37">
      <w:pPr>
        <w:rPr>
          <w:rFonts w:hint="default" w:cs="Times New Roman"/>
          <w:b/>
          <w:bCs/>
          <w:lang w:val="en-US" w:eastAsia="zh-CN"/>
        </w:rPr>
      </w:pPr>
      <w:r>
        <w:rPr>
          <w:rFonts w:hint="eastAsia" w:cs="Times New Roman"/>
          <w:b/>
          <w:bCs/>
          <w:lang w:val="en-US" w:eastAsia="zh-CN"/>
        </w:rPr>
        <w:t>（六）其他设施类用地规划</w:t>
      </w:r>
    </w:p>
    <w:p w14:paraId="5DC34927">
      <w:r>
        <w:rPr>
          <w:rFonts w:hint="eastAsia" w:cs="Times New Roman"/>
          <w:b/>
          <w:sz w:val="28"/>
          <w:szCs w:val="28"/>
          <w:lang w:val="en-US" w:eastAsia="zh-CN"/>
        </w:rPr>
        <w:t>1、</w:t>
      </w:r>
      <w:r>
        <w:rPr>
          <w:rFonts w:hint="eastAsia" w:ascii="仿宋" w:hAnsi="仿宋" w:eastAsia="仿宋" w:cs="Times New Roman"/>
          <w:b/>
          <w:sz w:val="28"/>
          <w:szCs w:val="28"/>
          <w:lang w:val="en-US" w:eastAsia="zh-CN"/>
        </w:rPr>
        <w:t>工业用地规划</w:t>
      </w:r>
    </w:p>
    <w:p w14:paraId="242938F3">
      <w:r>
        <w:rPr>
          <w:rFonts w:hint="default" w:ascii="仿宋" w:hAnsi="仿宋" w:eastAsia="仿宋" w:cs="Times New Roman"/>
          <w:b w:val="0"/>
          <w:bCs w:val="0"/>
          <w:sz w:val="28"/>
          <w:szCs w:val="28"/>
          <w:lang w:val="en-US" w:eastAsia="zh-CN"/>
        </w:rPr>
        <w:t>规划中心城区工业用地（1</w:t>
      </w:r>
      <w:r>
        <w:rPr>
          <w:rFonts w:hint="eastAsia" w:ascii="仿宋" w:hAnsi="仿宋" w:eastAsia="仿宋" w:cs="Times New Roman"/>
          <w:b w:val="0"/>
          <w:bCs w:val="0"/>
          <w:sz w:val="28"/>
          <w:szCs w:val="28"/>
          <w:lang w:val="en-US" w:eastAsia="zh-CN"/>
        </w:rPr>
        <w:t>001</w:t>
      </w:r>
      <w:r>
        <w:rPr>
          <w:rFonts w:hint="default" w:ascii="仿宋" w:hAnsi="仿宋" w:eastAsia="仿宋" w:cs="Times New Roman"/>
          <w:b w:val="0"/>
          <w:bCs w:val="0"/>
          <w:sz w:val="28"/>
          <w:szCs w:val="28"/>
          <w:lang w:val="en-US" w:eastAsia="zh-CN"/>
        </w:rPr>
        <w:t>）面积为</w:t>
      </w:r>
      <w:r>
        <w:rPr>
          <w:rFonts w:hint="eastAsia" w:ascii="仿宋" w:hAnsi="仿宋" w:eastAsia="仿宋" w:cs="Times New Roman"/>
          <w:b w:val="0"/>
          <w:bCs w:val="0"/>
          <w:sz w:val="28"/>
          <w:szCs w:val="28"/>
          <w:lang w:val="en-US" w:eastAsia="zh-CN"/>
        </w:rPr>
        <w:t>81.99</w:t>
      </w:r>
      <w:r>
        <w:rPr>
          <w:rFonts w:hint="default" w:ascii="仿宋" w:hAnsi="仿宋" w:eastAsia="仿宋" w:cs="Times New Roman"/>
          <w:b w:val="0"/>
          <w:bCs w:val="0"/>
          <w:sz w:val="28"/>
          <w:szCs w:val="28"/>
          <w:lang w:val="en-US" w:eastAsia="zh-CN"/>
        </w:rPr>
        <w:t>公顷，</w:t>
      </w:r>
      <w:r>
        <w:rPr>
          <w:rFonts w:hint="eastAsia" w:ascii="仿宋" w:hAnsi="仿宋" w:eastAsia="仿宋" w:cs="Times New Roman"/>
          <w:b w:val="0"/>
          <w:bCs w:val="0"/>
          <w:sz w:val="28"/>
          <w:szCs w:val="28"/>
          <w:lang w:val="en-US" w:eastAsia="zh-CN"/>
        </w:rPr>
        <w:t>主要为位于县城东北侧广灵经开区新材料产业园划入城镇开发边界范围内工业用地</w:t>
      </w:r>
      <w:r>
        <w:rPr>
          <w:rFonts w:hint="eastAsia" w:cs="Times New Roman"/>
          <w:b w:val="0"/>
          <w:bCs w:val="0"/>
          <w:sz w:val="28"/>
          <w:szCs w:val="28"/>
          <w:lang w:val="en-US" w:eastAsia="zh-CN"/>
        </w:rPr>
        <w:t>。</w:t>
      </w:r>
    </w:p>
    <w:p w14:paraId="7828D1CE">
      <w:pPr>
        <w:spacing w:line="600" w:lineRule="auto"/>
        <w:ind w:firstLine="562" w:firstLineChars="200"/>
        <w:rPr>
          <w:rFonts w:hint="eastAsia" w:ascii="仿宋" w:hAnsi="仿宋" w:eastAsia="仿宋" w:cs="Times New Roman"/>
          <w:b/>
          <w:sz w:val="28"/>
          <w:szCs w:val="28"/>
          <w:lang w:val="en-US" w:eastAsia="zh-CN"/>
        </w:rPr>
      </w:pPr>
      <w:r>
        <w:rPr>
          <w:rFonts w:hint="eastAsia" w:cs="Times New Roman"/>
          <w:b/>
          <w:sz w:val="28"/>
          <w:szCs w:val="28"/>
          <w:lang w:val="en-US" w:eastAsia="zh-CN"/>
        </w:rPr>
        <w:t>2、</w:t>
      </w:r>
      <w:r>
        <w:rPr>
          <w:rFonts w:hint="eastAsia" w:ascii="仿宋" w:hAnsi="仿宋" w:eastAsia="仿宋" w:cs="Times New Roman"/>
          <w:b/>
          <w:sz w:val="28"/>
          <w:szCs w:val="28"/>
          <w:lang w:val="en-US" w:eastAsia="zh-CN"/>
        </w:rPr>
        <w:t>物流仓储用地规划</w:t>
      </w:r>
    </w:p>
    <w:p w14:paraId="2E97F6DA">
      <w:pPr>
        <w:spacing w:line="420" w:lineRule="auto"/>
        <w:ind w:firstLine="560" w:firstLineChars="200"/>
        <w:rPr>
          <w:rFonts w:hint="default" w:ascii="仿宋" w:hAnsi="仿宋" w:eastAsia="仿宋" w:cs="Times New Roman"/>
          <w:b w:val="0"/>
          <w:bCs w:val="0"/>
          <w:sz w:val="28"/>
          <w:szCs w:val="28"/>
          <w:lang w:val="en-US" w:eastAsia="zh-CN"/>
        </w:rPr>
      </w:pPr>
      <w:r>
        <w:rPr>
          <w:rFonts w:hint="default" w:ascii="仿宋" w:hAnsi="仿宋" w:eastAsia="仿宋" w:cs="Times New Roman"/>
          <w:b w:val="0"/>
          <w:bCs w:val="0"/>
          <w:sz w:val="28"/>
          <w:szCs w:val="28"/>
          <w:lang w:val="en-US" w:eastAsia="zh-CN"/>
        </w:rPr>
        <w:t>规划中心城区物流仓储用地（1</w:t>
      </w:r>
      <w:r>
        <w:rPr>
          <w:rFonts w:hint="eastAsia" w:ascii="仿宋" w:hAnsi="仿宋" w:eastAsia="仿宋" w:cs="Times New Roman"/>
          <w:b w:val="0"/>
          <w:bCs w:val="0"/>
          <w:sz w:val="28"/>
          <w:szCs w:val="28"/>
          <w:lang w:val="en-US" w:eastAsia="zh-CN"/>
        </w:rPr>
        <w:t>101</w:t>
      </w:r>
      <w:r>
        <w:rPr>
          <w:rFonts w:hint="default" w:ascii="仿宋" w:hAnsi="仿宋" w:eastAsia="仿宋" w:cs="Times New Roman"/>
          <w:b w:val="0"/>
          <w:bCs w:val="0"/>
          <w:sz w:val="28"/>
          <w:szCs w:val="28"/>
          <w:lang w:val="en-US" w:eastAsia="zh-CN"/>
        </w:rPr>
        <w:t>）面积为</w:t>
      </w:r>
      <w:r>
        <w:rPr>
          <w:rFonts w:hint="eastAsia" w:ascii="仿宋" w:hAnsi="仿宋" w:eastAsia="仿宋" w:cs="Times New Roman"/>
          <w:b w:val="0"/>
          <w:bCs w:val="0"/>
          <w:sz w:val="28"/>
          <w:szCs w:val="28"/>
          <w:lang w:val="en-US" w:eastAsia="zh-CN"/>
        </w:rPr>
        <w:t>44.53</w:t>
      </w:r>
      <w:r>
        <w:rPr>
          <w:rFonts w:hint="default" w:ascii="仿宋" w:hAnsi="仿宋" w:eastAsia="仿宋" w:cs="Times New Roman"/>
          <w:b w:val="0"/>
          <w:bCs w:val="0"/>
          <w:sz w:val="28"/>
          <w:szCs w:val="28"/>
          <w:lang w:val="en-US" w:eastAsia="zh-CN"/>
        </w:rPr>
        <w:t>公顷，</w:t>
      </w:r>
      <w:r>
        <w:rPr>
          <w:rFonts w:hint="eastAsia" w:ascii="仿宋" w:hAnsi="仿宋" w:eastAsia="仿宋" w:cs="Times New Roman"/>
          <w:b w:val="0"/>
          <w:bCs w:val="0"/>
          <w:sz w:val="28"/>
          <w:szCs w:val="28"/>
          <w:lang w:val="en-US" w:eastAsia="zh-CN"/>
        </w:rPr>
        <w:t>全部为一类物流仓储用地（110101），全部位于中心城区东北侧位置，依托现状国道239以及广源高速广灵出口、平舒大道等交通便利条件发展广灵县物流产业，为县域以及开发区产业发展提供物质仓储转运作用。</w:t>
      </w:r>
    </w:p>
    <w:p w14:paraId="7CB21BF6">
      <w:r>
        <w:rPr>
          <w:rFonts w:hint="eastAsia" w:cs="Times New Roman"/>
          <w:b/>
          <w:sz w:val="28"/>
          <w:szCs w:val="28"/>
          <w:lang w:val="en-US" w:eastAsia="zh-CN"/>
        </w:rPr>
        <w:t>3、</w:t>
      </w:r>
      <w:r>
        <w:rPr>
          <w:rFonts w:hint="eastAsia" w:ascii="仿宋" w:hAnsi="仿宋" w:eastAsia="仿宋" w:cs="Times New Roman"/>
          <w:b/>
          <w:sz w:val="28"/>
          <w:szCs w:val="28"/>
          <w:lang w:val="en-US" w:eastAsia="zh-CN"/>
        </w:rPr>
        <w:t>特殊用地规划</w:t>
      </w:r>
    </w:p>
    <w:p w14:paraId="5E90D627">
      <w:r>
        <w:rPr>
          <w:rFonts w:hint="default" w:ascii="仿宋" w:hAnsi="仿宋" w:eastAsia="仿宋" w:cs="Times New Roman"/>
          <w:b w:val="0"/>
          <w:bCs w:val="0"/>
          <w:sz w:val="28"/>
          <w:szCs w:val="28"/>
          <w:lang w:val="en-US" w:eastAsia="zh-CN"/>
        </w:rPr>
        <w:t>规划中心城区</w:t>
      </w:r>
      <w:r>
        <w:rPr>
          <w:rFonts w:hint="eastAsia" w:ascii="仿宋" w:hAnsi="仿宋" w:eastAsia="仿宋" w:cs="Times New Roman"/>
          <w:b w:val="0"/>
          <w:bCs w:val="0"/>
          <w:sz w:val="28"/>
          <w:szCs w:val="28"/>
          <w:lang w:val="en-US" w:eastAsia="zh-CN"/>
        </w:rPr>
        <w:t>特殊</w:t>
      </w:r>
      <w:r>
        <w:rPr>
          <w:rFonts w:hint="default" w:ascii="仿宋" w:hAnsi="仿宋" w:eastAsia="仿宋" w:cs="Times New Roman"/>
          <w:b w:val="0"/>
          <w:bCs w:val="0"/>
          <w:sz w:val="28"/>
          <w:szCs w:val="28"/>
          <w:lang w:val="en-US" w:eastAsia="zh-CN"/>
        </w:rPr>
        <w:t>用地（1</w:t>
      </w:r>
      <w:r>
        <w:rPr>
          <w:rFonts w:hint="eastAsia" w:ascii="仿宋" w:hAnsi="仿宋" w:eastAsia="仿宋" w:cs="Times New Roman"/>
          <w:b w:val="0"/>
          <w:bCs w:val="0"/>
          <w:sz w:val="28"/>
          <w:szCs w:val="28"/>
          <w:lang w:val="en-US" w:eastAsia="zh-CN"/>
        </w:rPr>
        <w:t>5</w:t>
      </w:r>
      <w:r>
        <w:rPr>
          <w:rFonts w:hint="default" w:ascii="仿宋" w:hAnsi="仿宋" w:eastAsia="仿宋" w:cs="Times New Roman"/>
          <w:b w:val="0"/>
          <w:bCs w:val="0"/>
          <w:sz w:val="28"/>
          <w:szCs w:val="28"/>
          <w:lang w:val="en-US" w:eastAsia="zh-CN"/>
        </w:rPr>
        <w:t>）</w:t>
      </w:r>
      <w:r>
        <w:rPr>
          <w:rFonts w:hint="eastAsia" w:ascii="仿宋" w:hAnsi="仿宋" w:eastAsia="仿宋" w:cs="Times New Roman"/>
          <w:b w:val="0"/>
          <w:bCs w:val="0"/>
          <w:sz w:val="28"/>
          <w:szCs w:val="28"/>
          <w:lang w:val="en-US" w:eastAsia="zh-CN"/>
        </w:rPr>
        <w:t>主要为宗教用地（1503）</w:t>
      </w:r>
      <w:r>
        <w:rPr>
          <w:rFonts w:hint="default" w:ascii="仿宋" w:hAnsi="仿宋" w:eastAsia="仿宋" w:cs="Times New Roman"/>
          <w:b w:val="0"/>
          <w:bCs w:val="0"/>
          <w:sz w:val="28"/>
          <w:szCs w:val="28"/>
          <w:lang w:val="en-US" w:eastAsia="zh-CN"/>
        </w:rPr>
        <w:t>面积为</w:t>
      </w:r>
      <w:r>
        <w:rPr>
          <w:rFonts w:hint="eastAsia" w:ascii="仿宋" w:hAnsi="仿宋" w:eastAsia="仿宋" w:cs="Times New Roman"/>
          <w:b w:val="0"/>
          <w:bCs w:val="0"/>
          <w:sz w:val="28"/>
          <w:szCs w:val="28"/>
          <w:lang w:val="en-US" w:eastAsia="zh-CN"/>
        </w:rPr>
        <w:t>0.58</w:t>
      </w:r>
      <w:r>
        <w:rPr>
          <w:rFonts w:hint="default" w:ascii="仿宋" w:hAnsi="仿宋" w:eastAsia="仿宋" w:cs="Times New Roman"/>
          <w:b w:val="0"/>
          <w:bCs w:val="0"/>
          <w:sz w:val="28"/>
          <w:szCs w:val="28"/>
          <w:lang w:val="en-US" w:eastAsia="zh-CN"/>
        </w:rPr>
        <w:t>公顷，文物古迹用地</w:t>
      </w:r>
      <w:r>
        <w:rPr>
          <w:rFonts w:hint="eastAsia" w:ascii="仿宋" w:hAnsi="仿宋" w:eastAsia="仿宋" w:cs="Times New Roman"/>
          <w:b w:val="0"/>
          <w:bCs w:val="0"/>
          <w:sz w:val="28"/>
          <w:szCs w:val="28"/>
          <w:lang w:val="en-US" w:eastAsia="zh-CN"/>
        </w:rPr>
        <w:t>（1504）面积为5.12公顷。</w:t>
      </w:r>
    </w:p>
    <w:p w14:paraId="5877678B">
      <w:pPr>
        <w:spacing w:line="600" w:lineRule="auto"/>
        <w:ind w:firstLine="562" w:firstLineChars="200"/>
        <w:rPr>
          <w:rFonts w:hint="eastAsia" w:ascii="仿宋" w:hAnsi="仿宋" w:eastAsia="仿宋" w:cs="Times New Roman"/>
          <w:b/>
          <w:sz w:val="28"/>
          <w:szCs w:val="28"/>
          <w:lang w:val="en-US" w:eastAsia="zh-CN"/>
        </w:rPr>
      </w:pPr>
      <w:r>
        <w:rPr>
          <w:rFonts w:hint="eastAsia" w:cs="Times New Roman"/>
          <w:b/>
          <w:sz w:val="28"/>
          <w:szCs w:val="28"/>
          <w:lang w:val="en-US" w:eastAsia="zh-CN"/>
        </w:rPr>
        <w:t>4、</w:t>
      </w:r>
      <w:r>
        <w:rPr>
          <w:rFonts w:hint="eastAsia" w:ascii="仿宋" w:hAnsi="仿宋" w:eastAsia="仿宋" w:cs="Times New Roman"/>
          <w:b/>
          <w:sz w:val="28"/>
          <w:szCs w:val="28"/>
          <w:lang w:val="en-US" w:eastAsia="zh-CN"/>
        </w:rPr>
        <w:t>留白用地规划（16）</w:t>
      </w:r>
    </w:p>
    <w:p w14:paraId="79BF8724">
      <w:pPr>
        <w:spacing w:line="420" w:lineRule="auto"/>
        <w:ind w:firstLine="560" w:firstLineChars="200"/>
        <w:rPr>
          <w:rFonts w:hint="eastAsia" w:ascii="仿宋" w:hAnsi="仿宋" w:eastAsia="仿宋" w:cs="Times New Roman"/>
          <w:b w:val="0"/>
          <w:bCs w:val="0"/>
          <w:sz w:val="28"/>
          <w:szCs w:val="28"/>
          <w:lang w:val="en-US" w:eastAsia="zh-CN"/>
        </w:rPr>
      </w:pPr>
      <w:r>
        <w:rPr>
          <w:rFonts w:hint="default" w:ascii="仿宋" w:hAnsi="仿宋" w:eastAsia="仿宋" w:cs="Times New Roman"/>
          <w:b w:val="0"/>
          <w:bCs w:val="0"/>
          <w:sz w:val="28"/>
          <w:szCs w:val="28"/>
          <w:lang w:val="en-US" w:eastAsia="zh-CN"/>
        </w:rPr>
        <w:t>规划中心城区留白用地（</w:t>
      </w:r>
      <w:r>
        <w:rPr>
          <w:rFonts w:hint="eastAsia" w:ascii="仿宋" w:hAnsi="仿宋" w:eastAsia="仿宋" w:cs="Times New Roman"/>
          <w:b w:val="0"/>
          <w:bCs w:val="0"/>
          <w:sz w:val="28"/>
          <w:szCs w:val="28"/>
          <w:lang w:val="en-US" w:eastAsia="zh-CN"/>
        </w:rPr>
        <w:t>16</w:t>
      </w:r>
      <w:r>
        <w:rPr>
          <w:rFonts w:hint="default" w:ascii="仿宋" w:hAnsi="仿宋" w:eastAsia="仿宋" w:cs="Times New Roman"/>
          <w:b w:val="0"/>
          <w:bCs w:val="0"/>
          <w:sz w:val="28"/>
          <w:szCs w:val="28"/>
          <w:lang w:val="en-US" w:eastAsia="zh-CN"/>
        </w:rPr>
        <w:t>）面积为</w:t>
      </w:r>
      <w:r>
        <w:rPr>
          <w:rFonts w:hint="eastAsia" w:ascii="仿宋" w:hAnsi="仿宋" w:eastAsia="仿宋" w:cs="Times New Roman"/>
          <w:b w:val="0"/>
          <w:bCs w:val="0"/>
          <w:sz w:val="28"/>
          <w:szCs w:val="28"/>
          <w:lang w:val="en-US" w:eastAsia="zh-CN"/>
        </w:rPr>
        <w:t>11.02</w:t>
      </w:r>
      <w:r>
        <w:rPr>
          <w:rFonts w:hint="default" w:ascii="仿宋" w:hAnsi="仿宋" w:eastAsia="仿宋" w:cs="Times New Roman"/>
          <w:b w:val="0"/>
          <w:bCs w:val="0"/>
          <w:sz w:val="28"/>
          <w:szCs w:val="28"/>
          <w:lang w:val="en-US" w:eastAsia="zh-CN"/>
        </w:rPr>
        <w:t>公顷，</w:t>
      </w:r>
      <w:r>
        <w:rPr>
          <w:rFonts w:hint="eastAsia" w:ascii="仿宋" w:hAnsi="仿宋" w:eastAsia="仿宋" w:cs="Times New Roman"/>
          <w:b w:val="0"/>
          <w:bCs w:val="0"/>
          <w:sz w:val="28"/>
          <w:szCs w:val="28"/>
          <w:lang w:val="en-US" w:eastAsia="zh-CN"/>
        </w:rPr>
        <w:t>主要位于县城木槽涧河北段东岸部分区域，主要用于城市长远发展预留的战略空间。</w:t>
      </w:r>
    </w:p>
    <w:p w14:paraId="37698741">
      <w:pPr>
        <w:pStyle w:val="3"/>
        <w:bidi w:val="0"/>
        <w:rPr>
          <w:rFonts w:hint="eastAsia"/>
        </w:rPr>
      </w:pPr>
      <w:r>
        <w:rPr>
          <w:rFonts w:hint="eastAsia"/>
          <w:lang w:val="en-US" w:eastAsia="zh-CN"/>
        </w:rPr>
        <w:t>六</w:t>
      </w:r>
      <w:r>
        <w:rPr>
          <w:rFonts w:hint="eastAsia"/>
        </w:rPr>
        <w:t>、道路系统</w:t>
      </w:r>
    </w:p>
    <w:p w14:paraId="7FD8F103">
      <w:pPr>
        <w:spacing w:line="420" w:lineRule="auto"/>
        <w:ind w:firstLine="560" w:firstLineChars="200"/>
        <w:rPr>
          <w:rFonts w:hint="eastAsia" w:ascii="仿宋" w:hAnsi="仿宋" w:eastAsia="仿宋" w:cs="Times New Roman"/>
          <w:b w:val="0"/>
          <w:bCs w:val="0"/>
          <w:sz w:val="28"/>
          <w:szCs w:val="28"/>
          <w:lang w:val="en-US" w:eastAsia="zh-CN"/>
        </w:rPr>
      </w:pPr>
      <w:r>
        <w:rPr>
          <w:rFonts w:hint="eastAsia"/>
        </w:rPr>
        <w:t>遵循《</w:t>
      </w:r>
      <w:r>
        <w:rPr>
          <w:rFonts w:hint="eastAsia"/>
          <w:lang w:val="en-US" w:eastAsia="zh-CN"/>
        </w:rPr>
        <w:t>广灵</w:t>
      </w:r>
      <w:r>
        <w:rPr>
          <w:rFonts w:hint="eastAsia"/>
        </w:rPr>
        <w:t>县国土空间总体规划（2021－2035年）》，并在落实国土空间总体规划路网结构的基础上增加支路，加强地块的可达性</w:t>
      </w:r>
      <w:r>
        <w:rPr>
          <w:rFonts w:hint="eastAsia"/>
          <w:lang w:eastAsia="zh-CN"/>
        </w:rPr>
        <w:t>，</w:t>
      </w:r>
      <w:r>
        <w:rPr>
          <w:rFonts w:hint="eastAsia" w:ascii="仿宋" w:hAnsi="仿宋" w:eastAsia="仿宋" w:cs="Times New Roman"/>
          <w:b w:val="0"/>
          <w:bCs w:val="0"/>
          <w:sz w:val="28"/>
          <w:szCs w:val="28"/>
          <w:lang w:val="en-US" w:eastAsia="zh-CN"/>
        </w:rPr>
        <w:t>结合现状城区道路存在问题梳理，及主、次、支等路网等级、密度相关内容综合考虑，规划广灵县中心城区主干路网框架基本形成“棋盘式”路网格局，横向由北向南依次为省道203城区段（正阳线）、广泰路、永安街、南环路，纵向由西向东依次为：省道203城区段（西环路）、规划一路、壶泉南北路、滨河西路、滨河东路、和阳路、平舒大道，“四横、七纵”干路网结构。</w:t>
      </w:r>
    </w:p>
    <w:p w14:paraId="5278C041">
      <w:pPr>
        <w:pStyle w:val="3"/>
        <w:bidi w:val="0"/>
        <w:rPr>
          <w:rFonts w:hint="eastAsia"/>
          <w:lang w:val="en-US" w:eastAsia="zh-CN"/>
        </w:rPr>
      </w:pPr>
      <w:r>
        <w:rPr>
          <w:rFonts w:hint="eastAsia"/>
          <w:lang w:val="en-US" w:eastAsia="zh-CN"/>
        </w:rPr>
        <w:t>七、土地使用和建筑规划管理控制</w:t>
      </w:r>
    </w:p>
    <w:p w14:paraId="57E68583">
      <w:pPr>
        <w:spacing w:line="600" w:lineRule="auto"/>
        <w:ind w:firstLine="562" w:firstLineChars="200"/>
        <w:rPr>
          <w:rFonts w:hint="eastAsia" w:ascii="仿宋" w:hAnsi="仿宋" w:eastAsia="仿宋" w:cs="Times New Roman"/>
          <w:b/>
          <w:sz w:val="28"/>
          <w:szCs w:val="28"/>
          <w:lang w:val="en-US" w:eastAsia="zh-CN"/>
        </w:rPr>
      </w:pPr>
      <w:r>
        <w:rPr>
          <w:rFonts w:hint="eastAsia" w:cs="Times New Roman"/>
          <w:b/>
          <w:sz w:val="28"/>
          <w:szCs w:val="28"/>
          <w:lang w:val="en-US" w:eastAsia="zh-CN"/>
        </w:rPr>
        <w:t>（一）</w:t>
      </w:r>
      <w:r>
        <w:rPr>
          <w:rFonts w:hint="eastAsia" w:ascii="仿宋" w:hAnsi="仿宋" w:eastAsia="仿宋" w:cs="Times New Roman"/>
          <w:b/>
          <w:sz w:val="28"/>
          <w:szCs w:val="28"/>
          <w:lang w:val="en-US" w:eastAsia="zh-CN"/>
        </w:rPr>
        <w:t>道路红线控制</w:t>
      </w:r>
    </w:p>
    <w:p w14:paraId="59D103A0">
      <w:pPr>
        <w:bidi w:val="0"/>
      </w:pPr>
      <w:r>
        <w:rPr>
          <w:rFonts w:hint="eastAsia"/>
          <w:lang w:val="en-US" w:eastAsia="zh-CN"/>
        </w:rPr>
        <w:t>“道路红线”是指包括道路和交通设施用地的控制线。控制道路红线的核心是控制道路用地范围、界定各类道路沿线建（构）筑物的建设条件。</w:t>
      </w:r>
    </w:p>
    <w:p w14:paraId="454FE126">
      <w:pPr>
        <w:bidi w:val="0"/>
        <w:rPr>
          <w:rFonts w:hint="eastAsia" w:ascii="仿宋" w:hAnsi="仿宋" w:eastAsia="仿宋" w:cs="Times New Roman"/>
          <w:b w:val="0"/>
          <w:bCs w:val="0"/>
          <w:szCs w:val="28"/>
          <w:lang w:val="en-US" w:eastAsia="zh-CN"/>
        </w:rPr>
      </w:pPr>
      <w:r>
        <w:rPr>
          <w:rFonts w:hint="eastAsia"/>
          <w:lang w:val="en-US" w:eastAsia="zh-CN"/>
        </w:rPr>
        <w:t>控制要求：（1）红线内土地不得进行任何与道路功能不相符合的使用。（2）快速路、主、次干路应严格按规划进行控制和建设，支路在建设过程中可依据引进项目的具体情况增减或作线型调整。（3）道路应实行统一的建筑</w:t>
      </w:r>
      <w:r>
        <w:rPr>
          <w:rFonts w:hint="eastAsia" w:ascii="仿宋" w:hAnsi="仿宋" w:eastAsia="仿宋" w:cs="Times New Roman"/>
          <w:b w:val="0"/>
          <w:bCs w:val="0"/>
          <w:szCs w:val="28"/>
          <w:lang w:val="en-US" w:eastAsia="zh-CN"/>
        </w:rPr>
        <w:t>后退距离，保障规划片区道路建设的标准化和规范化，具体按《大同市城市规划管理技术规定》的规定控制。（4）已批项目地块，应当按照该项目的详细规划规定退让道路红线。</w:t>
      </w:r>
    </w:p>
    <w:p w14:paraId="6D54271E">
      <w:pPr>
        <w:spacing w:line="600" w:lineRule="auto"/>
        <w:ind w:firstLine="562" w:firstLineChars="200"/>
        <w:rPr>
          <w:rFonts w:hint="eastAsia" w:ascii="仿宋" w:hAnsi="仿宋" w:eastAsia="仿宋" w:cs="Times New Roman"/>
          <w:b/>
          <w:sz w:val="28"/>
          <w:szCs w:val="28"/>
          <w:lang w:val="en-US" w:eastAsia="zh-CN"/>
        </w:rPr>
      </w:pPr>
      <w:r>
        <w:rPr>
          <w:rFonts w:hint="eastAsia" w:ascii="仿宋" w:hAnsi="仿宋" w:eastAsia="仿宋" w:cs="Times New Roman"/>
          <w:b/>
          <w:sz w:val="28"/>
          <w:szCs w:val="28"/>
          <w:lang w:val="en-US" w:eastAsia="zh-CN"/>
        </w:rPr>
        <w:t>（</w:t>
      </w:r>
      <w:r>
        <w:rPr>
          <w:rFonts w:hint="eastAsia" w:cs="Times New Roman"/>
          <w:b/>
          <w:sz w:val="28"/>
          <w:szCs w:val="28"/>
          <w:lang w:val="en-US" w:eastAsia="zh-CN"/>
        </w:rPr>
        <w:t>二</w:t>
      </w:r>
      <w:r>
        <w:rPr>
          <w:rFonts w:hint="eastAsia" w:ascii="仿宋" w:hAnsi="仿宋" w:eastAsia="仿宋" w:cs="Times New Roman"/>
          <w:b/>
          <w:sz w:val="28"/>
          <w:szCs w:val="28"/>
          <w:lang w:val="en-US" w:eastAsia="zh-CN"/>
        </w:rPr>
        <w:t>）城市蓝线控制</w:t>
      </w:r>
    </w:p>
    <w:p w14:paraId="51EBC980">
      <w:pPr>
        <w:bidi w:val="0"/>
        <w:rPr>
          <w:rFonts w:hint="eastAsia"/>
          <w:lang w:val="en-US" w:eastAsia="zh-CN"/>
        </w:rPr>
      </w:pPr>
      <w:r>
        <w:rPr>
          <w:rFonts w:hint="eastAsia"/>
          <w:lang w:val="en-US" w:eastAsia="zh-CN"/>
        </w:rPr>
        <w:t>1、蓝线的划定：依据《广灵县国土空间总体规划（2021—2035）》广灵县城蓝线为木槽涧河城区段，以城区修建滨河公园河堤岸线为边界，属于特别用途区，面积为8.19公顷。</w:t>
      </w:r>
    </w:p>
    <w:p w14:paraId="5C0C4E1C">
      <w:pPr>
        <w:bidi w:val="0"/>
        <w:rPr>
          <w:rFonts w:hint="eastAsia"/>
          <w:lang w:val="en-US" w:eastAsia="zh-CN"/>
        </w:rPr>
      </w:pPr>
      <w:r>
        <w:rPr>
          <w:rFonts w:hint="eastAsia"/>
          <w:lang w:val="en-US" w:eastAsia="zh-CN"/>
        </w:rPr>
        <w:t>2、蓝线控制要点：（1）在蓝线内禁止进行下列活动：违反蓝线保护和控制要求的建设活动；擅自填埋、占用蓝线内水域；影响水系安全的爆破、采石、取土擅自建设各类排污设施；其它对水系保护构成破坏的活动。</w:t>
      </w:r>
    </w:p>
    <w:p w14:paraId="1A00FD56">
      <w:pPr>
        <w:bidi w:val="0"/>
        <w:rPr>
          <w:rFonts w:hint="eastAsia"/>
          <w:lang w:val="en-US" w:eastAsia="zh-CN"/>
        </w:rPr>
      </w:pPr>
      <w:r>
        <w:rPr>
          <w:rFonts w:hint="eastAsia"/>
          <w:lang w:val="en-US" w:eastAsia="zh-CN"/>
        </w:rPr>
        <w:t>（2）在蓝线内新建、改建、扩建各类建筑物、构筑物、道路、管线和其他工程设施，应当依法向相应主管部门申请办理城乡规划许可，并依照有关法律、法规办理相关手续。</w:t>
      </w:r>
    </w:p>
    <w:p w14:paraId="19364C34">
      <w:pPr>
        <w:spacing w:line="600" w:lineRule="auto"/>
        <w:ind w:firstLine="562" w:firstLineChars="200"/>
        <w:rPr>
          <w:rFonts w:hint="eastAsia" w:cs="Times New Roman"/>
          <w:b/>
          <w:sz w:val="28"/>
          <w:szCs w:val="28"/>
          <w:lang w:val="en-US" w:eastAsia="zh-CN"/>
        </w:rPr>
      </w:pPr>
      <w:r>
        <w:rPr>
          <w:rFonts w:hint="eastAsia" w:cs="Times New Roman"/>
          <w:b/>
          <w:sz w:val="28"/>
          <w:szCs w:val="28"/>
          <w:lang w:val="en-US" w:eastAsia="zh-CN"/>
        </w:rPr>
        <w:t>（三）</w:t>
      </w:r>
      <w:r>
        <w:rPr>
          <w:rFonts w:hint="eastAsia" w:ascii="仿宋" w:hAnsi="仿宋" w:eastAsia="仿宋" w:cs="Times New Roman"/>
          <w:b/>
          <w:sz w:val="28"/>
          <w:szCs w:val="28"/>
          <w:lang w:val="en-US" w:eastAsia="zh-CN"/>
        </w:rPr>
        <w:t>城市黄线控制</w:t>
      </w:r>
      <w:r>
        <w:rPr>
          <w:rFonts w:hint="eastAsia" w:cs="Times New Roman"/>
          <w:b/>
          <w:sz w:val="28"/>
          <w:szCs w:val="28"/>
          <w:lang w:val="en-US" w:eastAsia="zh-CN"/>
        </w:rPr>
        <w:t>：</w:t>
      </w:r>
    </w:p>
    <w:p w14:paraId="2CBE484E">
      <w:pPr>
        <w:bidi w:val="0"/>
        <w:rPr>
          <w:rFonts w:hint="eastAsia"/>
          <w:lang w:val="en-US" w:eastAsia="zh-CN"/>
        </w:rPr>
      </w:pPr>
      <w:r>
        <w:rPr>
          <w:rFonts w:hint="eastAsia"/>
          <w:lang w:val="en-US" w:eastAsia="zh-CN"/>
        </w:rPr>
        <w:t>1、黄线划定</w:t>
      </w:r>
    </w:p>
    <w:p w14:paraId="34B49182">
      <w:pPr>
        <w:bidi w:val="0"/>
        <w:rPr>
          <w:rFonts w:hint="eastAsia"/>
          <w:lang w:val="en-US" w:eastAsia="zh-CN"/>
        </w:rPr>
      </w:pPr>
      <w:r>
        <w:rPr>
          <w:rFonts w:hint="eastAsia"/>
          <w:lang w:val="en-US" w:eastAsia="zh-CN"/>
        </w:rPr>
        <w:t>依据《广灵县国土空间总体规划（2021—2035）》广灵县中心城区核心基础设施主要有城西供水厂设施，县城东南角污水处理厂，东台110KV变电站及西侧220KV广灵变电站，长青热电厂，天然气分输门站设施以及城西两座消防站设施，面积共计18.46公顷。对城市黄线范围内的各类建设活动进行严格控制，以保障城市基础设施的正常、高效运转。</w:t>
      </w:r>
    </w:p>
    <w:p w14:paraId="4F8C9DFB">
      <w:pPr>
        <w:bidi w:val="0"/>
        <w:rPr>
          <w:rFonts w:hint="eastAsia"/>
          <w:lang w:val="en-US" w:eastAsia="zh-CN"/>
        </w:rPr>
      </w:pPr>
      <w:r>
        <w:rPr>
          <w:rFonts w:hint="eastAsia"/>
          <w:lang w:val="en-US" w:eastAsia="zh-CN"/>
        </w:rPr>
        <w:t>2、控制要求</w:t>
      </w:r>
    </w:p>
    <w:p w14:paraId="6F781004">
      <w:pPr>
        <w:bidi w:val="0"/>
        <w:rPr>
          <w:rFonts w:hint="eastAsia"/>
          <w:lang w:val="en-US" w:eastAsia="zh-CN"/>
        </w:rPr>
      </w:pPr>
      <w:r>
        <w:rPr>
          <w:rFonts w:hint="eastAsia"/>
          <w:lang w:val="en-US" w:eastAsia="zh-CN"/>
        </w:rPr>
        <w:t>（1）在黄线范围内禁止进行下列活动：</w:t>
      </w:r>
    </w:p>
    <w:p w14:paraId="40B9FDFD">
      <w:pPr>
        <w:bidi w:val="0"/>
        <w:rPr>
          <w:rFonts w:hint="eastAsia"/>
          <w:lang w:val="en-US" w:eastAsia="zh-CN"/>
        </w:rPr>
      </w:pPr>
      <w:r>
        <w:rPr>
          <w:rFonts w:hint="eastAsia"/>
          <w:lang w:val="en-US" w:eastAsia="zh-CN"/>
        </w:rPr>
        <w:t>（2）违反城乡规划要求，进行建筑物、构筑物及其他设施的建设；</w:t>
      </w:r>
    </w:p>
    <w:p w14:paraId="421A3CC9">
      <w:pPr>
        <w:bidi w:val="0"/>
        <w:rPr>
          <w:rFonts w:hint="eastAsia"/>
          <w:lang w:val="en-US" w:eastAsia="zh-CN"/>
        </w:rPr>
      </w:pPr>
      <w:r>
        <w:rPr>
          <w:rFonts w:hint="eastAsia"/>
          <w:lang w:val="en-US" w:eastAsia="zh-CN"/>
        </w:rPr>
        <w:t>（3）违反国家有关技术标准和规范进行建设；</w:t>
      </w:r>
    </w:p>
    <w:p w14:paraId="5CFB2677">
      <w:pPr>
        <w:bidi w:val="0"/>
        <w:rPr>
          <w:rFonts w:hint="eastAsia"/>
          <w:lang w:val="en-US" w:eastAsia="zh-CN"/>
        </w:rPr>
      </w:pPr>
      <w:r>
        <w:rPr>
          <w:rFonts w:hint="eastAsia"/>
          <w:lang w:val="en-US" w:eastAsia="zh-CN"/>
        </w:rPr>
        <w:t>（4）未经批准，改装、迁移或拆毁原有基础设施；</w:t>
      </w:r>
    </w:p>
    <w:p w14:paraId="4E8E8E63">
      <w:pPr>
        <w:bidi w:val="0"/>
        <w:rPr>
          <w:rFonts w:hint="eastAsia"/>
          <w:lang w:val="en-US" w:eastAsia="zh-CN"/>
        </w:rPr>
      </w:pPr>
      <w:r>
        <w:rPr>
          <w:rFonts w:hint="eastAsia"/>
          <w:lang w:val="en-US" w:eastAsia="zh-CN"/>
        </w:rPr>
        <w:t>（5）其他损坏基础设施或影响基础设施安全和正常运转的行为。</w:t>
      </w:r>
    </w:p>
    <w:p w14:paraId="52F5F44C">
      <w:pPr>
        <w:bidi w:val="0"/>
        <w:rPr>
          <w:rFonts w:hint="eastAsia"/>
          <w:lang w:val="en-US" w:eastAsia="zh-CN"/>
        </w:rPr>
      </w:pPr>
      <w:r>
        <w:rPr>
          <w:rFonts w:hint="eastAsia"/>
          <w:lang w:val="en-US" w:eastAsia="zh-CN"/>
        </w:rPr>
        <w:t>在规划区黄线内新建、改建、扩建各类建筑物、构筑物、道路、管线和其他工程设施，应当依法向广灵县自然资源主管部门申请办理城乡规划许可，并依据有关法律、法规办理相关手续。迁移、拆除黄线内基础设施的，应当依据有关法律、法规办理相关手续。</w:t>
      </w:r>
    </w:p>
    <w:p w14:paraId="2ADD38EB">
      <w:pPr>
        <w:spacing w:line="600" w:lineRule="auto"/>
        <w:ind w:firstLine="562" w:firstLineChars="200"/>
        <w:rPr>
          <w:rFonts w:hint="eastAsia" w:ascii="仿宋" w:hAnsi="仿宋" w:eastAsia="仿宋" w:cs="Times New Roman"/>
          <w:b/>
          <w:sz w:val="28"/>
          <w:szCs w:val="28"/>
          <w:lang w:val="en-US" w:eastAsia="zh-CN"/>
        </w:rPr>
      </w:pPr>
      <w:r>
        <w:rPr>
          <w:rFonts w:hint="eastAsia" w:ascii="仿宋" w:hAnsi="仿宋" w:eastAsia="仿宋" w:cs="Times New Roman"/>
          <w:b/>
          <w:sz w:val="28"/>
          <w:szCs w:val="28"/>
          <w:lang w:val="en-US" w:eastAsia="zh-CN"/>
        </w:rPr>
        <w:t>（</w:t>
      </w:r>
      <w:r>
        <w:rPr>
          <w:rFonts w:hint="eastAsia" w:cs="Times New Roman"/>
          <w:b/>
          <w:sz w:val="28"/>
          <w:szCs w:val="28"/>
          <w:lang w:val="en-US" w:eastAsia="zh-CN"/>
        </w:rPr>
        <w:t>四</w:t>
      </w:r>
      <w:r>
        <w:rPr>
          <w:rFonts w:hint="eastAsia" w:ascii="仿宋" w:hAnsi="仿宋" w:eastAsia="仿宋" w:cs="Times New Roman"/>
          <w:b/>
          <w:sz w:val="28"/>
          <w:szCs w:val="28"/>
          <w:lang w:val="en-US" w:eastAsia="zh-CN"/>
        </w:rPr>
        <w:t>）城市紫线控制</w:t>
      </w:r>
    </w:p>
    <w:p w14:paraId="3F8617CB">
      <w:pPr>
        <w:keepNext w:val="0"/>
        <w:keepLines w:val="0"/>
        <w:pageBreakBefore w:val="0"/>
        <w:widowControl w:val="0"/>
        <w:kinsoku/>
        <w:wordWrap/>
        <w:overflowPunct/>
        <w:topLinePunct w:val="0"/>
        <w:autoSpaceDE/>
        <w:autoSpaceDN/>
        <w:bidi w:val="0"/>
        <w:adjustRightInd/>
        <w:snapToGrid/>
        <w:spacing w:line="420" w:lineRule="auto"/>
        <w:ind w:firstLine="560" w:firstLineChars="200"/>
        <w:textAlignment w:val="auto"/>
        <w:rPr>
          <w:rFonts w:hint="eastAsia" w:ascii="仿宋" w:hAnsi="仿宋" w:eastAsia="仿宋" w:cs="Times New Roman"/>
          <w:b w:val="0"/>
          <w:bCs w:val="0"/>
          <w:sz w:val="28"/>
          <w:szCs w:val="28"/>
          <w:lang w:val="en-US" w:eastAsia="zh-CN"/>
        </w:rPr>
      </w:pPr>
      <w:r>
        <w:rPr>
          <w:rFonts w:hint="eastAsia" w:ascii="仿宋" w:hAnsi="仿宋" w:eastAsia="仿宋" w:cs="Times New Roman"/>
          <w:b w:val="0"/>
          <w:bCs w:val="0"/>
          <w:sz w:val="28"/>
          <w:szCs w:val="28"/>
          <w:lang w:val="en-US" w:eastAsia="zh-CN"/>
        </w:rPr>
        <w:t>依据《广灵县国土空间总体规划（2021—2035）》</w:t>
      </w:r>
      <w:r>
        <w:rPr>
          <w:rFonts w:hint="eastAsia" w:cs="Times New Roman"/>
          <w:b w:val="0"/>
          <w:bCs w:val="0"/>
          <w:sz w:val="28"/>
          <w:szCs w:val="28"/>
          <w:lang w:val="en-US" w:eastAsia="zh-CN"/>
        </w:rPr>
        <w:t>，</w:t>
      </w:r>
      <w:r>
        <w:rPr>
          <w:rFonts w:hint="eastAsia" w:ascii="仿宋" w:hAnsi="仿宋" w:eastAsia="仿宋" w:cs="Times New Roman"/>
          <w:b w:val="0"/>
          <w:bCs w:val="0"/>
          <w:sz w:val="28"/>
          <w:szCs w:val="28"/>
          <w:lang w:val="en-US" w:eastAsia="zh-CN"/>
        </w:rPr>
        <w:t>广灵县中心城区不涉及紫线内容。</w:t>
      </w:r>
    </w:p>
    <w:p w14:paraId="3E5E1845">
      <w:pPr>
        <w:spacing w:line="600" w:lineRule="auto"/>
        <w:ind w:firstLine="562" w:firstLineChars="200"/>
        <w:rPr>
          <w:rFonts w:hint="eastAsia" w:ascii="仿宋" w:hAnsi="仿宋" w:eastAsia="仿宋" w:cs="Times New Roman"/>
          <w:b/>
          <w:sz w:val="28"/>
          <w:szCs w:val="28"/>
          <w:lang w:val="en-US" w:eastAsia="zh-CN"/>
        </w:rPr>
      </w:pPr>
      <w:r>
        <w:rPr>
          <w:rFonts w:hint="eastAsia" w:cs="Times New Roman"/>
          <w:b/>
          <w:sz w:val="28"/>
          <w:szCs w:val="28"/>
          <w:lang w:val="en-US" w:eastAsia="zh-CN"/>
        </w:rPr>
        <w:t>（五）</w:t>
      </w:r>
      <w:r>
        <w:rPr>
          <w:rFonts w:hint="eastAsia" w:ascii="仿宋" w:hAnsi="仿宋" w:eastAsia="仿宋" w:cs="Times New Roman"/>
          <w:b/>
          <w:sz w:val="28"/>
          <w:szCs w:val="28"/>
          <w:lang w:val="en-US" w:eastAsia="zh-CN"/>
        </w:rPr>
        <w:t>城市绿线控制</w:t>
      </w:r>
    </w:p>
    <w:p w14:paraId="3620F148">
      <w:pPr>
        <w:bidi w:val="0"/>
        <w:rPr>
          <w:rFonts w:hint="default"/>
          <w:lang w:val="en-US" w:eastAsia="zh-CN"/>
        </w:rPr>
      </w:pPr>
      <w:r>
        <w:rPr>
          <w:rFonts w:hint="eastAsia"/>
          <w:lang w:val="en-US" w:eastAsia="zh-CN"/>
        </w:rPr>
        <w:t>1、划定范围</w:t>
      </w:r>
    </w:p>
    <w:p w14:paraId="7B82F903">
      <w:pPr>
        <w:bidi w:val="0"/>
        <w:rPr>
          <w:rFonts w:hint="eastAsia"/>
          <w:lang w:val="en-US" w:eastAsia="zh-CN"/>
        </w:rPr>
      </w:pPr>
      <w:r>
        <w:rPr>
          <w:rFonts w:hint="eastAsia"/>
          <w:lang w:val="en-US" w:eastAsia="zh-CN"/>
        </w:rPr>
        <w:t>依据《广灵县国土空间总体规划（2021—2035）》广灵县中心城区范围涉及的“绿线”指城市公园、防护绿地和广场用地范围的控制线。中心城区城市绿线控制面积74.5公顷，主要包括木槽涧河公园，老城区广场、老城县级公园绿地及涧东新区县级公共绿地。</w:t>
      </w:r>
    </w:p>
    <w:p w14:paraId="79D5E225">
      <w:pPr>
        <w:bidi w:val="0"/>
        <w:rPr>
          <w:rFonts w:hint="eastAsia"/>
          <w:lang w:val="en-US" w:eastAsia="zh-CN"/>
        </w:rPr>
      </w:pPr>
      <w:r>
        <w:rPr>
          <w:rFonts w:hint="eastAsia"/>
          <w:lang w:val="en-US" w:eastAsia="zh-CN"/>
        </w:rPr>
        <w:t>2、控制要求</w:t>
      </w:r>
    </w:p>
    <w:p w14:paraId="4B089462">
      <w:pPr>
        <w:bidi w:val="0"/>
        <w:rPr>
          <w:rFonts w:hint="eastAsia"/>
          <w:lang w:val="en-US" w:eastAsia="zh-CN"/>
        </w:rPr>
      </w:pPr>
      <w:r>
        <w:rPr>
          <w:rFonts w:hint="eastAsia"/>
          <w:lang w:val="en-US" w:eastAsia="zh-CN"/>
        </w:rPr>
        <w:t>（1）绿线内的用地，不得改作他用，不得违反法律法规、强制性标准以及批准的规划进行开发建设。</w:t>
      </w:r>
    </w:p>
    <w:p w14:paraId="0A747019">
      <w:pPr>
        <w:bidi w:val="0"/>
        <w:rPr>
          <w:rFonts w:hint="eastAsia"/>
          <w:lang w:val="en-US" w:eastAsia="zh-CN"/>
        </w:rPr>
      </w:pPr>
      <w:r>
        <w:rPr>
          <w:rFonts w:hint="eastAsia"/>
          <w:lang w:val="en-US" w:eastAsia="zh-CN"/>
        </w:rPr>
        <w:t>（2）有关部门不得违反规定，批准在绿线范围内进行建设。</w:t>
      </w:r>
    </w:p>
    <w:p w14:paraId="0F111CA9">
      <w:pPr>
        <w:bidi w:val="0"/>
        <w:rPr>
          <w:rFonts w:hint="eastAsia"/>
          <w:lang w:val="en-US" w:eastAsia="zh-CN"/>
        </w:rPr>
      </w:pPr>
      <w:r>
        <w:rPr>
          <w:rFonts w:hint="eastAsia"/>
          <w:lang w:val="en-US" w:eastAsia="zh-CN"/>
        </w:rPr>
        <w:t>（3）因建设或者其他特殊情况，需要临时占用规划绿线内用地的，必须依法办理相关审批手续。</w:t>
      </w:r>
    </w:p>
    <w:p w14:paraId="61F20165">
      <w:pPr>
        <w:bidi w:val="0"/>
        <w:rPr>
          <w:rFonts w:hint="eastAsia"/>
          <w:lang w:val="en-US" w:eastAsia="zh-CN"/>
        </w:rPr>
      </w:pPr>
      <w:r>
        <w:rPr>
          <w:rFonts w:hint="eastAsia"/>
          <w:lang w:val="en-US" w:eastAsia="zh-CN"/>
        </w:rPr>
        <w:t>（4）在绿线范围内，不符合规划要求的建筑物、构筑物及其他设施应当限期迁出。</w:t>
      </w:r>
    </w:p>
    <w:p w14:paraId="62053FDF">
      <w:pPr>
        <w:spacing w:line="420" w:lineRule="auto"/>
        <w:ind w:firstLine="562" w:firstLineChars="200"/>
        <w:rPr>
          <w:rFonts w:hint="eastAsia" w:cs="Times New Roman"/>
          <w:b/>
          <w:bCs/>
          <w:sz w:val="28"/>
          <w:szCs w:val="28"/>
          <w:lang w:val="en-US" w:eastAsia="zh-CN"/>
        </w:rPr>
      </w:pPr>
      <w:r>
        <w:rPr>
          <w:rFonts w:hint="eastAsia" w:cs="Times New Roman"/>
          <w:b/>
          <w:bCs/>
          <w:sz w:val="28"/>
          <w:szCs w:val="28"/>
          <w:lang w:val="en-US" w:eastAsia="zh-CN"/>
        </w:rPr>
        <w:t>规划附图：</w:t>
      </w:r>
    </w:p>
    <w:p w14:paraId="61CD751B">
      <w:pPr>
        <w:numPr>
          <w:ilvl w:val="0"/>
          <w:numId w:val="3"/>
        </w:numPr>
        <w:spacing w:line="420" w:lineRule="auto"/>
        <w:ind w:firstLine="560" w:firstLineChars="200"/>
        <w:rPr>
          <w:rFonts w:hint="eastAsia" w:cs="Times New Roman"/>
          <w:b w:val="0"/>
          <w:bCs w:val="0"/>
          <w:sz w:val="28"/>
          <w:szCs w:val="28"/>
          <w:lang w:val="en-US" w:eastAsia="zh-CN"/>
        </w:rPr>
      </w:pPr>
      <w:r>
        <w:rPr>
          <w:rFonts w:hint="eastAsia" w:cs="Times New Roman"/>
          <w:b w:val="0"/>
          <w:bCs w:val="0"/>
          <w:sz w:val="28"/>
          <w:szCs w:val="28"/>
          <w:lang w:val="en-US" w:eastAsia="zh-CN"/>
        </w:rPr>
        <w:t>功能结构规划图；</w:t>
      </w:r>
    </w:p>
    <w:p w14:paraId="3D243C18">
      <w:pPr>
        <w:numPr>
          <w:ilvl w:val="0"/>
          <w:numId w:val="3"/>
        </w:numPr>
        <w:spacing w:line="420" w:lineRule="auto"/>
        <w:ind w:firstLine="560" w:firstLineChars="200"/>
        <w:rPr>
          <w:rFonts w:hint="default" w:cs="Times New Roman"/>
          <w:b w:val="0"/>
          <w:bCs w:val="0"/>
          <w:sz w:val="28"/>
          <w:szCs w:val="28"/>
          <w:lang w:val="en-US" w:eastAsia="zh-CN"/>
        </w:rPr>
      </w:pPr>
      <w:r>
        <w:rPr>
          <w:rFonts w:hint="eastAsia" w:cs="Times New Roman"/>
          <w:b w:val="0"/>
          <w:bCs w:val="0"/>
          <w:sz w:val="28"/>
          <w:szCs w:val="28"/>
          <w:lang w:val="en-US" w:eastAsia="zh-CN"/>
        </w:rPr>
        <w:t>用地规划图；</w:t>
      </w:r>
    </w:p>
    <w:p w14:paraId="4FA23F09">
      <w:pPr>
        <w:numPr>
          <w:ilvl w:val="0"/>
          <w:numId w:val="3"/>
        </w:numPr>
        <w:spacing w:line="420" w:lineRule="auto"/>
        <w:ind w:firstLine="560" w:firstLineChars="200"/>
        <w:rPr>
          <w:rFonts w:hint="default" w:cs="Times New Roman"/>
          <w:b w:val="0"/>
          <w:bCs w:val="0"/>
          <w:sz w:val="28"/>
          <w:szCs w:val="28"/>
          <w:lang w:val="en-US" w:eastAsia="zh-CN"/>
        </w:rPr>
      </w:pPr>
      <w:r>
        <w:rPr>
          <w:rFonts w:hint="eastAsia" w:cs="Times New Roman"/>
          <w:b w:val="0"/>
          <w:bCs w:val="0"/>
          <w:sz w:val="28"/>
          <w:szCs w:val="28"/>
          <w:lang w:val="en-US" w:eastAsia="zh-CN"/>
        </w:rPr>
        <w:t>道路系统规划图</w:t>
      </w:r>
    </w:p>
    <w:p w14:paraId="017ED0E8">
      <w:pPr>
        <w:numPr>
          <w:ilvl w:val="0"/>
          <w:numId w:val="3"/>
        </w:numPr>
        <w:spacing w:line="420" w:lineRule="auto"/>
        <w:ind w:firstLine="560" w:firstLineChars="200"/>
        <w:rPr>
          <w:rFonts w:hint="default" w:cs="Times New Roman"/>
          <w:b w:val="0"/>
          <w:bCs w:val="0"/>
          <w:sz w:val="28"/>
          <w:szCs w:val="28"/>
          <w:lang w:val="en-US" w:eastAsia="zh-CN"/>
        </w:rPr>
      </w:pPr>
      <w:r>
        <w:rPr>
          <w:rFonts w:hint="eastAsia" w:cs="Times New Roman"/>
          <w:b w:val="0"/>
          <w:bCs w:val="0"/>
          <w:sz w:val="28"/>
          <w:szCs w:val="28"/>
          <w:lang w:val="en-US" w:eastAsia="zh-CN"/>
        </w:rPr>
        <w:t>四线控制规划图；</w:t>
      </w:r>
    </w:p>
    <w:p w14:paraId="30FE8D7E">
      <w:pPr>
        <w:numPr>
          <w:ilvl w:val="0"/>
          <w:numId w:val="3"/>
        </w:numPr>
        <w:spacing w:line="420" w:lineRule="auto"/>
        <w:ind w:firstLine="560" w:firstLineChars="200"/>
        <w:rPr>
          <w:rFonts w:hint="default" w:cs="Times New Roman"/>
          <w:b w:val="0"/>
          <w:bCs w:val="0"/>
          <w:sz w:val="28"/>
          <w:szCs w:val="28"/>
          <w:lang w:val="en-US" w:eastAsia="zh-CN"/>
        </w:rPr>
        <w:sectPr>
          <w:pgSz w:w="11906" w:h="16838"/>
          <w:pgMar w:top="1440" w:right="1800" w:bottom="1440" w:left="1800" w:header="851" w:footer="992" w:gutter="0"/>
          <w:cols w:space="425" w:num="1"/>
          <w:docGrid w:type="lines" w:linePitch="312" w:charSpace="0"/>
        </w:sectPr>
      </w:pPr>
      <w:r>
        <w:rPr>
          <w:rFonts w:hint="eastAsia" w:cs="Times New Roman"/>
          <w:b w:val="0"/>
          <w:bCs w:val="0"/>
          <w:sz w:val="28"/>
          <w:szCs w:val="28"/>
          <w:lang w:val="en-US" w:eastAsia="zh-CN"/>
        </w:rPr>
        <w:t>详细规划单元划分规划图。</w:t>
      </w:r>
    </w:p>
    <w:p w14:paraId="5A6EC6BE">
      <w:pPr>
        <w:numPr>
          <w:ilvl w:val="0"/>
          <w:numId w:val="0"/>
        </w:numPr>
        <w:spacing w:line="420" w:lineRule="auto"/>
        <w:rPr>
          <w:rFonts w:hint="default" w:cs="Times New Roman"/>
          <w:b w:val="0"/>
          <w:bCs w:val="0"/>
          <w:sz w:val="28"/>
          <w:szCs w:val="28"/>
          <w:lang w:val="en-US" w:eastAsia="zh-CN"/>
        </w:rPr>
        <w:sectPr>
          <w:pgSz w:w="16838" w:h="11906" w:orient="landscape"/>
          <w:pgMar w:top="1800" w:right="1440" w:bottom="1800" w:left="1440" w:header="851" w:footer="992" w:gutter="0"/>
          <w:cols w:space="425" w:num="1"/>
          <w:docGrid w:type="lines" w:linePitch="312" w:charSpace="0"/>
        </w:sectPr>
      </w:pPr>
      <w:r>
        <w:rPr>
          <w:rFonts w:hint="default" w:cs="Times New Roman"/>
          <w:b w:val="0"/>
          <w:bCs w:val="0"/>
          <w:sz w:val="28"/>
          <w:szCs w:val="28"/>
          <w:lang w:val="en-US" w:eastAsia="zh-CN"/>
        </w:rPr>
        <w:drawing>
          <wp:anchor distT="0" distB="0" distL="114300" distR="114300" simplePos="0" relativeHeight="251659264" behindDoc="0" locked="0" layoutInCell="1" allowOverlap="1">
            <wp:simplePos x="0" y="0"/>
            <wp:positionH relativeFrom="column">
              <wp:posOffset>58420</wp:posOffset>
            </wp:positionH>
            <wp:positionV relativeFrom="paragraph">
              <wp:posOffset>-256540</wp:posOffset>
            </wp:positionV>
            <wp:extent cx="8521700" cy="6022975"/>
            <wp:effectExtent l="0" t="0" r="12700" b="15875"/>
            <wp:wrapTopAndBottom/>
            <wp:docPr id="2" name="图片 2" descr="14、功能结构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4、功能结构规划图"/>
                    <pic:cNvPicPr>
                      <a:picLocks noChangeAspect="1"/>
                    </pic:cNvPicPr>
                  </pic:nvPicPr>
                  <pic:blipFill>
                    <a:blip r:embed="rId6"/>
                    <a:stretch>
                      <a:fillRect/>
                    </a:stretch>
                  </pic:blipFill>
                  <pic:spPr>
                    <a:xfrm>
                      <a:off x="0" y="0"/>
                      <a:ext cx="8521700" cy="6022975"/>
                    </a:xfrm>
                    <a:prstGeom prst="rect">
                      <a:avLst/>
                    </a:prstGeom>
                  </pic:spPr>
                </pic:pic>
              </a:graphicData>
            </a:graphic>
          </wp:anchor>
        </w:drawing>
      </w:r>
    </w:p>
    <w:p w14:paraId="76DE451B">
      <w:pPr>
        <w:numPr>
          <w:ilvl w:val="0"/>
          <w:numId w:val="0"/>
        </w:numPr>
        <w:spacing w:line="420" w:lineRule="auto"/>
        <w:rPr>
          <w:rFonts w:hint="default" w:cs="Times New Roman"/>
          <w:b w:val="0"/>
          <w:bCs w:val="0"/>
          <w:sz w:val="28"/>
          <w:szCs w:val="28"/>
          <w:lang w:val="en-US" w:eastAsia="zh-CN"/>
        </w:rPr>
        <w:sectPr>
          <w:pgSz w:w="16838" w:h="11906" w:orient="landscape"/>
          <w:pgMar w:top="1800" w:right="1440" w:bottom="1800" w:left="1440" w:header="851" w:footer="992" w:gutter="0"/>
          <w:cols w:space="425" w:num="1"/>
          <w:docGrid w:type="lines" w:linePitch="312" w:charSpace="0"/>
        </w:sectPr>
      </w:pPr>
      <w:r>
        <w:rPr>
          <w:rFonts w:hint="default" w:cs="Times New Roman"/>
          <w:b w:val="0"/>
          <w:bCs w:val="0"/>
          <w:sz w:val="28"/>
          <w:szCs w:val="28"/>
          <w:lang w:val="en-US"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85725</wp:posOffset>
            </wp:positionV>
            <wp:extent cx="8150225" cy="5760085"/>
            <wp:effectExtent l="0" t="0" r="3175" b="12065"/>
            <wp:wrapTopAndBottom/>
            <wp:docPr id="3" name="图片 3" descr="15、土地利用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土地利用规划图"/>
                    <pic:cNvPicPr>
                      <a:picLocks noChangeAspect="1"/>
                    </pic:cNvPicPr>
                  </pic:nvPicPr>
                  <pic:blipFill>
                    <a:blip r:embed="rId7"/>
                    <a:stretch>
                      <a:fillRect/>
                    </a:stretch>
                  </pic:blipFill>
                  <pic:spPr>
                    <a:xfrm>
                      <a:off x="0" y="0"/>
                      <a:ext cx="8150225" cy="5760085"/>
                    </a:xfrm>
                    <a:prstGeom prst="rect">
                      <a:avLst/>
                    </a:prstGeom>
                  </pic:spPr>
                </pic:pic>
              </a:graphicData>
            </a:graphic>
          </wp:anchor>
        </w:drawing>
      </w:r>
    </w:p>
    <w:p w14:paraId="0324FA65">
      <w:pPr>
        <w:numPr>
          <w:ilvl w:val="0"/>
          <w:numId w:val="0"/>
        </w:numPr>
        <w:spacing w:line="420" w:lineRule="auto"/>
        <w:rPr>
          <w:rFonts w:hint="default" w:cs="Times New Roman"/>
          <w:b w:val="0"/>
          <w:bCs w:val="0"/>
          <w:sz w:val="28"/>
          <w:szCs w:val="28"/>
          <w:lang w:val="en-US" w:eastAsia="zh-CN"/>
        </w:rPr>
        <w:sectPr>
          <w:pgSz w:w="16838" w:h="11906" w:orient="landscape"/>
          <w:pgMar w:top="1800" w:right="1440" w:bottom="1800" w:left="1440" w:header="851" w:footer="992" w:gutter="0"/>
          <w:cols w:space="425" w:num="1"/>
          <w:docGrid w:type="lines" w:linePitch="312" w:charSpace="0"/>
        </w:sectPr>
      </w:pPr>
      <w:r>
        <w:rPr>
          <w:rFonts w:hint="default" w:cs="Times New Roman"/>
          <w:b w:val="0"/>
          <w:bCs w:val="0"/>
          <w:sz w:val="28"/>
          <w:szCs w:val="28"/>
          <w:lang w:val="en-US" w:eastAsia="zh-CN"/>
        </w:rPr>
        <w:drawing>
          <wp:anchor distT="0" distB="0" distL="114300" distR="114300" simplePos="0" relativeHeight="251661312" behindDoc="0" locked="0" layoutInCell="1" allowOverlap="1">
            <wp:simplePos x="0" y="0"/>
            <wp:positionH relativeFrom="column">
              <wp:posOffset>63500</wp:posOffset>
            </wp:positionH>
            <wp:positionV relativeFrom="paragraph">
              <wp:posOffset>-401955</wp:posOffset>
            </wp:positionV>
            <wp:extent cx="8383270" cy="5925185"/>
            <wp:effectExtent l="0" t="0" r="17780" b="18415"/>
            <wp:wrapTopAndBottom/>
            <wp:docPr id="4" name="图片 4" descr="19、道路系统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9、道路系统规划图"/>
                    <pic:cNvPicPr>
                      <a:picLocks noChangeAspect="1"/>
                    </pic:cNvPicPr>
                  </pic:nvPicPr>
                  <pic:blipFill>
                    <a:blip r:embed="rId8"/>
                    <a:stretch>
                      <a:fillRect/>
                    </a:stretch>
                  </pic:blipFill>
                  <pic:spPr>
                    <a:xfrm>
                      <a:off x="0" y="0"/>
                      <a:ext cx="8383270" cy="5925185"/>
                    </a:xfrm>
                    <a:prstGeom prst="rect">
                      <a:avLst/>
                    </a:prstGeom>
                  </pic:spPr>
                </pic:pic>
              </a:graphicData>
            </a:graphic>
          </wp:anchor>
        </w:drawing>
      </w:r>
    </w:p>
    <w:p w14:paraId="1C78C457">
      <w:pPr>
        <w:numPr>
          <w:ilvl w:val="0"/>
          <w:numId w:val="0"/>
        </w:numPr>
        <w:spacing w:line="420" w:lineRule="auto"/>
        <w:rPr>
          <w:rFonts w:hint="default" w:cs="Times New Roman"/>
          <w:b w:val="0"/>
          <w:bCs w:val="0"/>
          <w:sz w:val="28"/>
          <w:szCs w:val="28"/>
          <w:lang w:val="en-US" w:eastAsia="zh-CN"/>
        </w:rPr>
        <w:sectPr>
          <w:pgSz w:w="16838" w:h="11906" w:orient="landscape"/>
          <w:pgMar w:top="1800" w:right="1440" w:bottom="1800" w:left="1440" w:header="851" w:footer="992" w:gutter="0"/>
          <w:cols w:space="425" w:num="1"/>
          <w:docGrid w:type="lines" w:linePitch="312" w:charSpace="0"/>
        </w:sectPr>
      </w:pPr>
      <w:r>
        <w:rPr>
          <w:rFonts w:hint="default" w:cs="Times New Roman"/>
          <w:b w:val="0"/>
          <w:bCs w:val="0"/>
          <w:sz w:val="28"/>
          <w:szCs w:val="28"/>
          <w:lang w:val="en-US" w:eastAsia="zh-CN"/>
        </w:rPr>
        <w:drawing>
          <wp:anchor distT="0" distB="0" distL="114300" distR="114300" simplePos="0" relativeHeight="251662336" behindDoc="0" locked="0" layoutInCell="1" allowOverlap="1">
            <wp:simplePos x="0" y="0"/>
            <wp:positionH relativeFrom="column">
              <wp:posOffset>106045</wp:posOffset>
            </wp:positionH>
            <wp:positionV relativeFrom="paragraph">
              <wp:posOffset>-386080</wp:posOffset>
            </wp:positionV>
            <wp:extent cx="8319135" cy="5879465"/>
            <wp:effectExtent l="0" t="0" r="5715" b="6985"/>
            <wp:wrapTopAndBottom/>
            <wp:docPr id="5" name="图片 5" descr="26、四线控制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6、四线控制规划图"/>
                    <pic:cNvPicPr>
                      <a:picLocks noChangeAspect="1"/>
                    </pic:cNvPicPr>
                  </pic:nvPicPr>
                  <pic:blipFill>
                    <a:blip r:embed="rId9"/>
                    <a:stretch>
                      <a:fillRect/>
                    </a:stretch>
                  </pic:blipFill>
                  <pic:spPr>
                    <a:xfrm>
                      <a:off x="0" y="0"/>
                      <a:ext cx="8319135" cy="5879465"/>
                    </a:xfrm>
                    <a:prstGeom prst="rect">
                      <a:avLst/>
                    </a:prstGeom>
                  </pic:spPr>
                </pic:pic>
              </a:graphicData>
            </a:graphic>
          </wp:anchor>
        </w:drawing>
      </w:r>
    </w:p>
    <w:p w14:paraId="4F2BC085">
      <w:pPr>
        <w:numPr>
          <w:ilvl w:val="0"/>
          <w:numId w:val="0"/>
        </w:numPr>
        <w:spacing w:line="420" w:lineRule="auto"/>
        <w:rPr>
          <w:rFonts w:hint="default" w:cs="Times New Roman"/>
          <w:b w:val="0"/>
          <w:bCs w:val="0"/>
          <w:sz w:val="28"/>
          <w:szCs w:val="28"/>
          <w:lang w:val="en-US" w:eastAsia="zh-CN"/>
        </w:rPr>
        <w:sectPr>
          <w:pgSz w:w="16838" w:h="11906" w:orient="landscape"/>
          <w:pgMar w:top="1800" w:right="1440" w:bottom="1800" w:left="1440" w:header="851" w:footer="992" w:gutter="0"/>
          <w:cols w:space="425" w:num="1"/>
          <w:docGrid w:type="lines" w:linePitch="312" w:charSpace="0"/>
        </w:sectPr>
      </w:pPr>
      <w:r>
        <w:drawing>
          <wp:anchor distT="0" distB="0" distL="114300" distR="114300" simplePos="0" relativeHeight="251664384" behindDoc="0" locked="0" layoutInCell="1" allowOverlap="1">
            <wp:simplePos x="0" y="0"/>
            <wp:positionH relativeFrom="column">
              <wp:posOffset>-25400</wp:posOffset>
            </wp:positionH>
            <wp:positionV relativeFrom="paragraph">
              <wp:posOffset>-288925</wp:posOffset>
            </wp:positionV>
            <wp:extent cx="8860155" cy="6238875"/>
            <wp:effectExtent l="0" t="0" r="17145" b="9525"/>
            <wp:wrapTopAndBottom/>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0"/>
                    <a:stretch>
                      <a:fillRect/>
                    </a:stretch>
                  </pic:blipFill>
                  <pic:spPr>
                    <a:xfrm>
                      <a:off x="0" y="0"/>
                      <a:ext cx="8860155" cy="6238875"/>
                    </a:xfrm>
                    <a:prstGeom prst="rect">
                      <a:avLst/>
                    </a:prstGeom>
                    <a:noFill/>
                    <a:ln>
                      <a:noFill/>
                    </a:ln>
                  </pic:spPr>
                </pic:pic>
              </a:graphicData>
            </a:graphic>
          </wp:anchor>
        </w:drawing>
      </w:r>
    </w:p>
    <w:p w14:paraId="47F1624F">
      <w:pPr>
        <w:numPr>
          <w:ilvl w:val="0"/>
          <w:numId w:val="0"/>
        </w:numPr>
        <w:spacing w:line="420" w:lineRule="auto"/>
        <w:rPr>
          <w:rFonts w:hint="default" w:cs="Times New Roman"/>
          <w:b w:val="0"/>
          <w:bCs w:val="0"/>
          <w:sz w:val="28"/>
          <w:szCs w:val="28"/>
          <w:lang w:val="en-US" w:eastAsia="zh-CN"/>
        </w:rPr>
      </w:pPr>
      <w:r>
        <w:rPr>
          <w:rFonts w:hint="default" w:cs="Times New Roman"/>
          <w:b w:val="0"/>
          <w:bCs w:val="0"/>
          <w:sz w:val="28"/>
          <w:szCs w:val="28"/>
          <w:lang w:val="en-US" w:eastAsia="zh-CN"/>
        </w:rPr>
        <w:drawing>
          <wp:anchor distT="0" distB="0" distL="114300" distR="114300" simplePos="0" relativeHeight="251663360" behindDoc="0" locked="0" layoutInCell="1" allowOverlap="1">
            <wp:simplePos x="0" y="0"/>
            <wp:positionH relativeFrom="column">
              <wp:posOffset>380365</wp:posOffset>
            </wp:positionH>
            <wp:positionV relativeFrom="paragraph">
              <wp:posOffset>-239395</wp:posOffset>
            </wp:positionV>
            <wp:extent cx="8171180" cy="5775325"/>
            <wp:effectExtent l="0" t="0" r="1270" b="15875"/>
            <wp:wrapTopAndBottom/>
            <wp:docPr id="6" name="图片 6" descr="22单元划分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单元划分规划图"/>
                    <pic:cNvPicPr>
                      <a:picLocks noChangeAspect="1"/>
                    </pic:cNvPicPr>
                  </pic:nvPicPr>
                  <pic:blipFill>
                    <a:blip r:embed="rId11"/>
                    <a:stretch>
                      <a:fillRect/>
                    </a:stretch>
                  </pic:blipFill>
                  <pic:spPr>
                    <a:xfrm>
                      <a:off x="0" y="0"/>
                      <a:ext cx="8171180" cy="5775325"/>
                    </a:xfrm>
                    <a:prstGeom prst="rect">
                      <a:avLst/>
                    </a:prstGeom>
                  </pic:spPr>
                </pic:pic>
              </a:graphicData>
            </a:graphic>
          </wp:anchor>
        </w:drawing>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5F340"/>
    <w:multiLevelType w:val="singleLevel"/>
    <w:tmpl w:val="B155F340"/>
    <w:lvl w:ilvl="0" w:tentative="0">
      <w:start w:val="3"/>
      <w:numFmt w:val="decimal"/>
      <w:suff w:val="nothing"/>
      <w:lvlText w:val="%1、"/>
      <w:lvlJc w:val="left"/>
    </w:lvl>
  </w:abstractNum>
  <w:abstractNum w:abstractNumId="1">
    <w:nsid w:val="E1BB8801"/>
    <w:multiLevelType w:val="singleLevel"/>
    <w:tmpl w:val="E1BB8801"/>
    <w:lvl w:ilvl="0" w:tentative="0">
      <w:start w:val="1"/>
      <w:numFmt w:val="decimal"/>
      <w:suff w:val="nothing"/>
      <w:lvlText w:val="%1、"/>
      <w:lvlJc w:val="left"/>
    </w:lvl>
  </w:abstractNum>
  <w:abstractNum w:abstractNumId="2">
    <w:nsid w:val="10712657"/>
    <w:multiLevelType w:val="singleLevel"/>
    <w:tmpl w:val="10712657"/>
    <w:lvl w:ilvl="0" w:tentative="0">
      <w:start w:val="2"/>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NTAyNTBlNmQ4NmJhOGU3Y2M0ZTQxY2ExMzdkZTkifQ=="/>
  </w:docVars>
  <w:rsids>
    <w:rsidRoot w:val="00000000"/>
    <w:rsid w:val="0F607C6B"/>
    <w:rsid w:val="23C90D8A"/>
    <w:rsid w:val="292347E2"/>
    <w:rsid w:val="2D0E4FBA"/>
    <w:rsid w:val="31554CFE"/>
    <w:rsid w:val="32C5683B"/>
    <w:rsid w:val="38B9725D"/>
    <w:rsid w:val="38F664C9"/>
    <w:rsid w:val="3FC90D91"/>
    <w:rsid w:val="44320F58"/>
    <w:rsid w:val="44321D9C"/>
    <w:rsid w:val="4F876B00"/>
    <w:rsid w:val="577122D3"/>
    <w:rsid w:val="691A2D11"/>
    <w:rsid w:val="6EBC08B8"/>
    <w:rsid w:val="711C4F70"/>
    <w:rsid w:val="73795985"/>
    <w:rsid w:val="792D4AFA"/>
    <w:rsid w:val="7A291E51"/>
    <w:rsid w:val="7B4D1445"/>
    <w:rsid w:val="7C1F5BA2"/>
    <w:rsid w:val="7D7B2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723" w:firstLineChars="200"/>
      <w:jc w:val="both"/>
    </w:pPr>
    <w:rPr>
      <w:rFonts w:hint="eastAsia" w:ascii="仿宋" w:hAnsi="仿宋" w:eastAsia="仿宋" w:cs="Times New Roman"/>
      <w:kern w:val="2"/>
      <w:sz w:val="28"/>
      <w:lang w:val="en-US" w:eastAsia="zh-CN" w:bidi="ar-SA"/>
    </w:rPr>
  </w:style>
  <w:style w:type="paragraph" w:styleId="2">
    <w:name w:val="heading 1"/>
    <w:basedOn w:val="1"/>
    <w:next w:val="1"/>
    <w:link w:val="12"/>
    <w:qFormat/>
    <w:uiPriority w:val="0"/>
    <w:pPr>
      <w:keepNext/>
      <w:keepLines/>
      <w:spacing w:before="340" w:after="330" w:line="578" w:lineRule="auto"/>
      <w:jc w:val="center"/>
      <w:outlineLvl w:val="0"/>
    </w:pPr>
    <w:rPr>
      <w:rFonts w:ascii="仿宋" w:hAnsi="仿宋" w:eastAsia="仿宋" w:cstheme="minorBidi"/>
      <w:b/>
      <w:bCs/>
      <w:kern w:val="44"/>
      <w:sz w:val="44"/>
      <w:szCs w:val="44"/>
    </w:rPr>
  </w:style>
  <w:style w:type="paragraph" w:styleId="3">
    <w:name w:val="heading 2"/>
    <w:basedOn w:val="1"/>
    <w:next w:val="1"/>
    <w:link w:val="11"/>
    <w:unhideWhenUsed/>
    <w:qFormat/>
    <w:uiPriority w:val="0"/>
    <w:pPr>
      <w:keepNext/>
      <w:keepLines/>
      <w:adjustRightInd w:val="0"/>
      <w:spacing w:before="100" w:beforeLines="100" w:after="50" w:afterLines="50" w:line="360" w:lineRule="auto"/>
      <w:ind w:firstLine="0" w:firstLineChars="0"/>
      <w:jc w:val="left"/>
      <w:textAlignment w:val="baseline"/>
      <w:outlineLvl w:val="1"/>
    </w:pPr>
    <w:rPr>
      <w:rFonts w:ascii="Arial" w:hAnsi="Arial" w:cs="Arial"/>
      <w:b/>
      <w:bCs/>
      <w:kern w:val="0"/>
      <w:sz w:val="32"/>
      <w:szCs w:val="32"/>
    </w:rPr>
  </w:style>
  <w:style w:type="character" w:default="1" w:styleId="10">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spacing w:afterLines="0" w:afterAutospacing="0"/>
    </w:pPr>
    <w:rPr>
      <w:rFonts w:ascii="Times New Roman" w:hAnsi="Times New Roman"/>
    </w:rPr>
  </w:style>
  <w:style w:type="paragraph" w:styleId="5">
    <w:name w:val="Body Text Indent"/>
    <w:basedOn w:val="1"/>
    <w:autoRedefine/>
    <w:qFormat/>
    <w:uiPriority w:val="0"/>
    <w:pPr>
      <w:spacing w:after="120" w:afterLines="0" w:afterAutospacing="0"/>
      <w:ind w:left="420" w:leftChars="200"/>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5"/>
    <w:autoRedefine/>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2 Char"/>
    <w:link w:val="3"/>
    <w:autoRedefine/>
    <w:qFormat/>
    <w:uiPriority w:val="0"/>
    <w:rPr>
      <w:rFonts w:ascii="Arial" w:hAnsi="Arial" w:eastAsia="仿宋" w:cs="Arial"/>
      <w:b/>
      <w:bCs/>
      <w:kern w:val="0"/>
      <w:sz w:val="32"/>
      <w:szCs w:val="32"/>
    </w:rPr>
  </w:style>
  <w:style w:type="character" w:customStyle="1" w:styleId="12">
    <w:name w:val="标题 1 Char"/>
    <w:link w:val="2"/>
    <w:qFormat/>
    <w:uiPriority w:val="0"/>
    <w:rPr>
      <w:rFonts w:ascii="仿宋" w:hAnsi="仿宋" w:eastAsia="仿宋" w:cstheme="minorBid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825</Words>
  <Characters>845</Characters>
  <Lines>0</Lines>
  <Paragraphs>0</Paragraphs>
  <TotalTime>47</TotalTime>
  <ScaleCrop>false</ScaleCrop>
  <LinksUpToDate>false</LinksUpToDate>
  <CharactersWithSpaces>845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2021-08-26T00:50:00Z</dcterms:created>
  <dc:creator>Administrator</dc:creator>
  <cp:lastModifiedBy>鬼斧</cp:lastModifiedBy>
  <dcterms:modified xsi:type="dcterms:W3CDTF">2026-08-13T03:24:17Z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411CC3E3BB374B27AAEE823932345DA8_13</vt:lpwstr>
  </property>
  <property fmtid="{D5CDD505-2E9C-101B-9397-08002B2CF9AE}" pid="4" name="KSOTemplateDocerSaveRecord">
    <vt:lpwstr>eyJoZGlkIjoiNGQxNjhmYjU2NjIyYzExMTNjNjIwYmNjMzBkYmVkZTMiLCJ1c2VySWQiOiIzNTMwOTc1MTcifQ==</vt:lpwstr>
  </property>
</Properties>
</file>